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Default="00191414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>ения администрации Шарыповского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9248CF" w:rsidRPr="0058725D">
        <w:rPr>
          <w:rFonts w:ascii="Times New Roman" w:hAnsi="Times New Roman"/>
          <w:sz w:val="24"/>
          <w:szCs w:val="24"/>
        </w:rPr>
        <w:t xml:space="preserve">Шарыповского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>, от 06.03.2023</w:t>
      </w:r>
      <w:r w:rsidR="006E099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1F397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0C11D0" w:rsidRPr="006D6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B64EC7">
        <w:rPr>
          <w:rFonts w:ascii="Times New Roman" w:hAnsi="Times New Roman"/>
          <w:sz w:val="24"/>
          <w:szCs w:val="24"/>
        </w:rPr>
        <w:t>ля</w:t>
      </w:r>
      <w:r w:rsidR="002D6E32" w:rsidRPr="006D6CC4">
        <w:rPr>
          <w:rFonts w:ascii="Times New Roman" w:hAnsi="Times New Roman"/>
          <w:sz w:val="24"/>
          <w:szCs w:val="24"/>
        </w:rPr>
        <w:t xml:space="preserve"> 20</w:t>
      </w:r>
      <w:r w:rsidR="00C56A15" w:rsidRPr="006D6CC4">
        <w:rPr>
          <w:rFonts w:ascii="Times New Roman" w:hAnsi="Times New Roman"/>
          <w:sz w:val="24"/>
          <w:szCs w:val="24"/>
        </w:rPr>
        <w:t>2</w:t>
      </w:r>
      <w:r w:rsidR="00B44A87" w:rsidRPr="006D6CC4">
        <w:rPr>
          <w:rFonts w:ascii="Times New Roman" w:hAnsi="Times New Roman"/>
          <w:sz w:val="24"/>
          <w:szCs w:val="24"/>
        </w:rPr>
        <w:t>3</w:t>
      </w:r>
      <w:r w:rsidR="00FE652C" w:rsidRPr="006D6CC4">
        <w:rPr>
          <w:rFonts w:ascii="Times New Roman" w:hAnsi="Times New Roman"/>
          <w:sz w:val="24"/>
          <w:szCs w:val="24"/>
        </w:rPr>
        <w:t xml:space="preserve"> год</w:t>
      </w:r>
      <w:r w:rsidR="00FE652C" w:rsidRPr="0058725D">
        <w:rPr>
          <w:rFonts w:ascii="Times New Roman" w:hAnsi="Times New Roman"/>
          <w:sz w:val="24"/>
          <w:szCs w:val="24"/>
        </w:rPr>
        <w:t xml:space="preserve">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33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окружного Совета депутатов от </w:t>
      </w:r>
      <w:r w:rsidR="00F73D6D">
        <w:rPr>
          <w:rFonts w:ascii="Times New Roman" w:hAnsi="Times New Roman"/>
          <w:sz w:val="24"/>
          <w:szCs w:val="24"/>
        </w:rPr>
        <w:t>29</w:t>
      </w:r>
      <w:r w:rsidR="00F73D6D" w:rsidRPr="00AE225F">
        <w:rPr>
          <w:rFonts w:ascii="Times New Roman" w:hAnsi="Times New Roman"/>
          <w:sz w:val="24"/>
          <w:szCs w:val="24"/>
        </w:rPr>
        <w:t>.</w:t>
      </w:r>
      <w:r w:rsidR="00F73D6D">
        <w:rPr>
          <w:rFonts w:ascii="Times New Roman" w:hAnsi="Times New Roman"/>
          <w:sz w:val="24"/>
          <w:szCs w:val="24"/>
        </w:rPr>
        <w:t>09</w:t>
      </w:r>
      <w:r w:rsidR="00F73D6D" w:rsidRPr="00AE225F">
        <w:rPr>
          <w:rFonts w:ascii="Times New Roman" w:hAnsi="Times New Roman"/>
          <w:sz w:val="24"/>
          <w:szCs w:val="24"/>
        </w:rPr>
        <w:t>.20</w:t>
      </w:r>
      <w:r w:rsidR="00F73D6D">
        <w:rPr>
          <w:rFonts w:ascii="Times New Roman" w:hAnsi="Times New Roman"/>
          <w:sz w:val="24"/>
          <w:szCs w:val="24"/>
        </w:rPr>
        <w:t>2</w:t>
      </w:r>
      <w:r w:rsidR="00F73D6D" w:rsidRPr="00AE225F">
        <w:rPr>
          <w:rFonts w:ascii="Times New Roman" w:hAnsi="Times New Roman"/>
          <w:sz w:val="24"/>
          <w:szCs w:val="24"/>
        </w:rPr>
        <w:t xml:space="preserve">1 </w:t>
      </w:r>
      <w:r w:rsidR="00F73D6D" w:rsidRPr="008D7D00">
        <w:rPr>
          <w:rFonts w:ascii="Times New Roman" w:hAnsi="Times New Roman"/>
          <w:sz w:val="24"/>
          <w:szCs w:val="24"/>
        </w:rPr>
        <w:t xml:space="preserve">№ </w:t>
      </w:r>
      <w:r w:rsidR="00F73D6D">
        <w:rPr>
          <w:rFonts w:ascii="Times New Roman" w:hAnsi="Times New Roman"/>
          <w:sz w:val="24"/>
          <w:szCs w:val="24"/>
        </w:rPr>
        <w:t>17</w:t>
      </w:r>
      <w:r w:rsidR="00F73D6D" w:rsidRPr="008D7D00">
        <w:rPr>
          <w:rFonts w:ascii="Times New Roman" w:hAnsi="Times New Roman"/>
          <w:sz w:val="24"/>
          <w:szCs w:val="24"/>
        </w:rPr>
        <w:t>-</w:t>
      </w:r>
      <w:r w:rsidR="00F73D6D">
        <w:rPr>
          <w:rFonts w:ascii="Times New Roman" w:hAnsi="Times New Roman"/>
          <w:sz w:val="24"/>
          <w:szCs w:val="24"/>
        </w:rPr>
        <w:t>1</w:t>
      </w:r>
      <w:r w:rsidR="00F73D6D" w:rsidRPr="008D7D00">
        <w:rPr>
          <w:rFonts w:ascii="Times New Roman" w:hAnsi="Times New Roman"/>
          <w:sz w:val="24"/>
          <w:szCs w:val="24"/>
        </w:rPr>
        <w:t>3</w:t>
      </w:r>
      <w:r w:rsidR="00F73D6D">
        <w:rPr>
          <w:rFonts w:ascii="Times New Roman" w:hAnsi="Times New Roman"/>
          <w:sz w:val="24"/>
          <w:szCs w:val="24"/>
        </w:rPr>
        <w:t>6</w:t>
      </w:r>
      <w:r w:rsidR="00F73D6D" w:rsidRPr="008D7D00">
        <w:rPr>
          <w:rFonts w:ascii="Times New Roman" w:hAnsi="Times New Roman"/>
          <w:sz w:val="24"/>
          <w:szCs w:val="24"/>
        </w:rPr>
        <w:t xml:space="preserve">р </w:t>
      </w:r>
      <w:r w:rsidRPr="000C11D0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 и в соответствии со стандартом организации деятельности Контрольно-счетного органа Шарыповского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Шарыповского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муниципального округа Красноярского края от 25.01.2021 № 03.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 w:rsidRPr="001F3978">
        <w:rPr>
          <w:rFonts w:ascii="Times New Roman" w:hAnsi="Times New Roman"/>
          <w:sz w:val="24"/>
          <w:szCs w:val="24"/>
        </w:rPr>
        <w:t xml:space="preserve"> </w:t>
      </w:r>
      <w:r w:rsidR="001F3978">
        <w:rPr>
          <w:rFonts w:ascii="Times New Roman" w:hAnsi="Times New Roman"/>
          <w:sz w:val="24"/>
          <w:szCs w:val="24"/>
        </w:rPr>
        <w:t>от 26.08.2021, от 30.11.2021, от 26.07.2022, от 19.10.2022, от 28.11.2022, от 06.03.2023</w:t>
      </w:r>
      <w:r w:rsidR="00F94890">
        <w:rPr>
          <w:rFonts w:ascii="Times New Roman" w:hAnsi="Times New Roman"/>
          <w:sz w:val="24"/>
          <w:szCs w:val="24"/>
        </w:rPr>
        <w:t>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1F3978">
        <w:rPr>
          <w:rFonts w:ascii="Times New Roman" w:hAnsi="Times New Roman"/>
          <w:sz w:val="24"/>
          <w:szCs w:val="24"/>
        </w:rPr>
        <w:t>04 ию</w:t>
      </w:r>
      <w:r w:rsidR="005163F8">
        <w:rPr>
          <w:rFonts w:ascii="Times New Roman" w:hAnsi="Times New Roman"/>
          <w:sz w:val="24"/>
          <w:szCs w:val="24"/>
        </w:rPr>
        <w:t>л</w:t>
      </w:r>
      <w:r w:rsidR="00E029A1">
        <w:rPr>
          <w:rFonts w:ascii="Times New Roman" w:hAnsi="Times New Roman"/>
          <w:sz w:val="24"/>
          <w:szCs w:val="24"/>
        </w:rPr>
        <w:t>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E06B7D" w:rsidRPr="0058725D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- постановление администрации Шарыповского муниципального округа от 13.04.2021 № 288-п «Об утверждении Порядка принятия решений о разработке муниципальных программ Шарыповского муниципального округа, их формирования и реализации»</w:t>
      </w:r>
      <w:r w:rsidR="00A56163" w:rsidRPr="00A56163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(в ред. от 22.07.2022</w:t>
      </w:r>
      <w:r w:rsidR="001F3978">
        <w:rPr>
          <w:rFonts w:ascii="Times New Roman" w:hAnsi="Times New Roman"/>
          <w:sz w:val="24"/>
          <w:szCs w:val="24"/>
        </w:rPr>
        <w:t>, от 04.04.2023</w:t>
      </w:r>
      <w:r w:rsidR="00A56163">
        <w:rPr>
          <w:rFonts w:ascii="Times New Roman" w:hAnsi="Times New Roman"/>
          <w:sz w:val="24"/>
          <w:szCs w:val="24"/>
        </w:rPr>
        <w:t>)</w:t>
      </w:r>
      <w:r w:rsidRPr="000C11D0">
        <w:rPr>
          <w:rFonts w:ascii="Times New Roman" w:hAnsi="Times New Roman"/>
          <w:sz w:val="24"/>
          <w:szCs w:val="24"/>
        </w:rPr>
        <w:t xml:space="preserve">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E029A1">
        <w:rPr>
          <w:rFonts w:ascii="Times New Roman" w:hAnsi="Times New Roman"/>
          <w:sz w:val="24"/>
          <w:szCs w:val="24"/>
        </w:rPr>
        <w:t>(в ред. от 03.08.2022)</w:t>
      </w:r>
      <w:r w:rsidR="00F94890" w:rsidRPr="00B46808">
        <w:rPr>
          <w:rFonts w:ascii="Times New Roman" w:hAnsi="Times New Roman"/>
          <w:sz w:val="24"/>
          <w:szCs w:val="24"/>
        </w:rPr>
        <w:t>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 xml:space="preserve">Исполнитель Программы </w:t>
      </w:r>
      <w:r w:rsidR="00E06B7D" w:rsidRPr="0058725D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5712AE" w:rsidRPr="005712AE">
        <w:rPr>
          <w:rFonts w:ascii="Times New Roman" w:hAnsi="Times New Roman"/>
          <w:sz w:val="24"/>
          <w:szCs w:val="24"/>
        </w:rPr>
        <w:t xml:space="preserve"> </w:t>
      </w:r>
      <w:r w:rsidR="005712AE" w:rsidRPr="000C11D0">
        <w:rPr>
          <w:rFonts w:ascii="Times New Roman" w:hAnsi="Times New Roman"/>
          <w:sz w:val="24"/>
          <w:szCs w:val="24"/>
        </w:rPr>
        <w:t>Красноярского края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53060E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3060E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повышение качества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качества ведения бухгалтерского и бюджетного учета, своевременное составление требуемой отчетности и предоставление ее в порядке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F3978">
        <w:rPr>
          <w:rFonts w:ascii="Times New Roman" w:hAnsi="Times New Roman"/>
          <w:sz w:val="24"/>
          <w:szCs w:val="24"/>
        </w:rPr>
        <w:t>5 ию</w:t>
      </w:r>
      <w:r w:rsidR="005163F8">
        <w:rPr>
          <w:rFonts w:ascii="Times New Roman" w:hAnsi="Times New Roman"/>
          <w:sz w:val="24"/>
          <w:szCs w:val="24"/>
        </w:rPr>
        <w:t>л</w:t>
      </w:r>
      <w:r w:rsidR="00715437">
        <w:rPr>
          <w:rFonts w:ascii="Times New Roman" w:hAnsi="Times New Roman"/>
          <w:sz w:val="24"/>
          <w:szCs w:val="24"/>
        </w:rPr>
        <w:t>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>, от 06.03.2023</w:t>
      </w:r>
      <w:r w:rsidR="00F94890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муниципальной программы Шарыповского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F3978" w:rsidRPr="00BF24BA" w:rsidTr="009239DC">
        <w:tc>
          <w:tcPr>
            <w:tcW w:w="1668" w:type="dxa"/>
            <w:vMerge/>
          </w:tcPr>
          <w:p w:rsidR="001F3978" w:rsidRPr="00BF24BA" w:rsidRDefault="001F3978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183 567 631,24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37 832 480,00 руб.;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183 567 531,24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37 832 480,00 руб.;</w:t>
            </w:r>
          </w:p>
          <w:p w:rsidR="001F3978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1F3978" w:rsidRPr="00BF24BA" w:rsidRDefault="001F3978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  <w:tc>
          <w:tcPr>
            <w:tcW w:w="4111" w:type="dxa"/>
          </w:tcPr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184 439 134,24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3978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978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38 703 983,00 руб.;</w:t>
            </w:r>
          </w:p>
          <w:p w:rsidR="001F3978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184 439 134,24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3978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3978" w:rsidRDefault="001F3978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3978" w:rsidRDefault="001F3978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38 703 983,00 руб.;</w:t>
            </w:r>
          </w:p>
          <w:p w:rsidR="001F3978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1F3978" w:rsidRPr="00BF24BA" w:rsidRDefault="001F397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A94CED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1F3978">
        <w:rPr>
          <w:rFonts w:ascii="Times New Roman" w:hAnsi="Times New Roman"/>
          <w:sz w:val="24"/>
          <w:szCs w:val="24"/>
        </w:rPr>
        <w:t xml:space="preserve">в 2023 году </w:t>
      </w:r>
      <w:r w:rsidR="004F420C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1F3978">
        <w:rPr>
          <w:rFonts w:ascii="Times New Roman" w:hAnsi="Times New Roman"/>
          <w:sz w:val="24"/>
          <w:szCs w:val="24"/>
        </w:rPr>
        <w:t>871 503,00</w:t>
      </w:r>
      <w:r w:rsidR="004F420C">
        <w:rPr>
          <w:rFonts w:ascii="Times New Roman" w:hAnsi="Times New Roman"/>
          <w:sz w:val="24"/>
          <w:szCs w:val="24"/>
        </w:rPr>
        <w:t xml:space="preserve"> </w:t>
      </w:r>
      <w:r w:rsidR="004F420C" w:rsidRPr="0058725D">
        <w:rPr>
          <w:rFonts w:ascii="Times New Roman" w:hAnsi="Times New Roman"/>
          <w:sz w:val="24"/>
          <w:szCs w:val="24"/>
        </w:rPr>
        <w:t>руб. (</w:t>
      </w:r>
      <w:r w:rsidR="001F3978">
        <w:rPr>
          <w:rFonts w:ascii="Times New Roman" w:hAnsi="Times New Roman"/>
          <w:sz w:val="24"/>
          <w:szCs w:val="24"/>
        </w:rPr>
        <w:t>2,30</w:t>
      </w:r>
      <w:r w:rsidR="004F420C" w:rsidRPr="0058725D">
        <w:rPr>
          <w:rFonts w:ascii="Times New Roman" w:hAnsi="Times New Roman"/>
          <w:sz w:val="24"/>
          <w:szCs w:val="24"/>
        </w:rPr>
        <w:t>%)</w:t>
      </w:r>
      <w:r w:rsidR="005031B3">
        <w:rPr>
          <w:rFonts w:ascii="Times New Roman" w:hAnsi="Times New Roman"/>
          <w:sz w:val="24"/>
          <w:szCs w:val="24"/>
        </w:rPr>
        <w:t>.</w:t>
      </w:r>
    </w:p>
    <w:p w:rsidR="00E83AD8" w:rsidRDefault="00E83AD8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978" w:rsidRPr="0058725D" w:rsidRDefault="001F3978" w:rsidP="001F397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="00DB46B2"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1F3978" w:rsidRPr="0058725D" w:rsidRDefault="001F3978" w:rsidP="001F39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1F3978" w:rsidRPr="0058725D" w:rsidRDefault="001F3978" w:rsidP="001F39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1F3978" w:rsidRPr="00C109DF" w:rsidTr="00A34CBA">
        <w:tc>
          <w:tcPr>
            <w:tcW w:w="1809" w:type="dxa"/>
            <w:vMerge w:val="restart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F3978" w:rsidRPr="00C109DF" w:rsidRDefault="001F3978" w:rsidP="00A3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B46B2" w:rsidRPr="00C109DF" w:rsidTr="00A34CBA">
        <w:tc>
          <w:tcPr>
            <w:tcW w:w="1809" w:type="dxa"/>
            <w:vMerge/>
          </w:tcPr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DB46B2">
              <w:rPr>
                <w:rFonts w:ascii="Times New Roman" w:hAnsi="Times New Roman"/>
                <w:b/>
                <w:sz w:val="20"/>
                <w:szCs w:val="20"/>
              </w:rPr>
              <w:t>63 072 440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21 089 480,0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63 072 440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B46B2" w:rsidRPr="00C109DF" w:rsidRDefault="00DB46B2" w:rsidP="00DB46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21 089 480,0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DB46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DB46B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Pr="00DB46B2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458 367,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21 475 407,0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63 458 367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21 475 407,0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20 991 480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978" w:rsidRPr="0058725D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 w:rsidR="00DB46B2"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DB46B2">
        <w:rPr>
          <w:rFonts w:ascii="Times New Roman" w:hAnsi="Times New Roman"/>
          <w:sz w:val="24"/>
          <w:szCs w:val="24"/>
        </w:rPr>
        <w:t>385 927,00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0,34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DB46B2" w:rsidRPr="00DB46B2">
        <w:rPr>
          <w:rFonts w:ascii="Times New Roman" w:hAnsi="Times New Roman"/>
          <w:sz w:val="24"/>
          <w:szCs w:val="24"/>
        </w:rPr>
        <w:t xml:space="preserve"> </w:t>
      </w:r>
      <w:r w:rsidR="00DB46B2">
        <w:rPr>
          <w:rFonts w:ascii="Times New Roman" w:hAnsi="Times New Roman"/>
          <w:sz w:val="24"/>
          <w:szCs w:val="24"/>
        </w:rPr>
        <w:t>в связи с повышением заработной платы на 6,3 % с 01.07.2023 года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36E87">
        <w:rPr>
          <w:rFonts w:ascii="Times New Roman" w:hAnsi="Times New Roman"/>
          <w:sz w:val="24"/>
          <w:szCs w:val="24"/>
        </w:rPr>
        <w:t xml:space="preserve">- в сумме </w:t>
      </w:r>
      <w:r w:rsidR="00DB46B2">
        <w:rPr>
          <w:rFonts w:ascii="Times New Roman" w:hAnsi="Times New Roman"/>
          <w:sz w:val="24"/>
          <w:szCs w:val="24"/>
        </w:rPr>
        <w:t>296 411</w:t>
      </w:r>
      <w:r w:rsidRPr="00C36E87">
        <w:rPr>
          <w:rFonts w:ascii="Times New Roman" w:hAnsi="Times New Roman"/>
          <w:sz w:val="24"/>
          <w:szCs w:val="24"/>
        </w:rPr>
        <w:t>,00 руб. по КВР 1</w:t>
      </w:r>
      <w:r w:rsidR="00DB46B2">
        <w:rPr>
          <w:rFonts w:ascii="Times New Roman" w:hAnsi="Times New Roman"/>
          <w:sz w:val="24"/>
          <w:szCs w:val="24"/>
        </w:rPr>
        <w:t>11</w:t>
      </w:r>
      <w:r w:rsidRPr="00C36E87">
        <w:rPr>
          <w:rFonts w:ascii="Times New Roman" w:hAnsi="Times New Roman"/>
          <w:sz w:val="24"/>
          <w:szCs w:val="24"/>
        </w:rPr>
        <w:t xml:space="preserve"> «</w:t>
      </w:r>
      <w:r w:rsidR="00DB46B2" w:rsidRPr="007B2B61">
        <w:rPr>
          <w:rFonts w:ascii="Times New Roman" w:hAnsi="Times New Roman"/>
          <w:sz w:val="24"/>
          <w:szCs w:val="24"/>
        </w:rPr>
        <w:t>Фонд оплаты труда учреждений</w:t>
      </w:r>
      <w:r>
        <w:rPr>
          <w:rFonts w:ascii="Times New Roman" w:hAnsi="Times New Roman"/>
          <w:sz w:val="24"/>
          <w:szCs w:val="24"/>
        </w:rPr>
        <w:t>»;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46B2">
        <w:rPr>
          <w:rFonts w:ascii="Times New Roman" w:hAnsi="Times New Roman"/>
          <w:sz w:val="24"/>
          <w:szCs w:val="24"/>
        </w:rPr>
        <w:t xml:space="preserve"> </w:t>
      </w:r>
      <w:r w:rsidRPr="00C36E87">
        <w:rPr>
          <w:rFonts w:ascii="Times New Roman" w:hAnsi="Times New Roman"/>
          <w:sz w:val="24"/>
          <w:szCs w:val="24"/>
        </w:rPr>
        <w:t xml:space="preserve">в сумме </w:t>
      </w:r>
      <w:r w:rsidR="00DB46B2">
        <w:rPr>
          <w:rFonts w:ascii="Times New Roman" w:hAnsi="Times New Roman"/>
          <w:sz w:val="24"/>
          <w:szCs w:val="24"/>
        </w:rPr>
        <w:t>89 516</w:t>
      </w:r>
      <w:r w:rsidRPr="00C36E87">
        <w:rPr>
          <w:rFonts w:ascii="Times New Roman" w:hAnsi="Times New Roman"/>
          <w:sz w:val="24"/>
          <w:szCs w:val="24"/>
        </w:rPr>
        <w:t>,00 руб. по КВР</w:t>
      </w:r>
      <w:r w:rsidR="00DB46B2">
        <w:rPr>
          <w:rFonts w:ascii="Times New Roman" w:hAnsi="Times New Roman"/>
          <w:sz w:val="24"/>
          <w:szCs w:val="24"/>
        </w:rPr>
        <w:t xml:space="preserve"> 119</w:t>
      </w:r>
      <w:r>
        <w:rPr>
          <w:rFonts w:ascii="Times New Roman" w:hAnsi="Times New Roman"/>
          <w:sz w:val="24"/>
          <w:szCs w:val="24"/>
        </w:rPr>
        <w:t xml:space="preserve"> «</w:t>
      </w:r>
      <w:r w:rsidR="00DB46B2" w:rsidRPr="007B2B61">
        <w:rPr>
          <w:rFonts w:ascii="Times New Roman" w:hAnsi="Times New Roman"/>
          <w:sz w:val="24"/>
          <w:szCs w:val="24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F3978" w:rsidRDefault="001F3978" w:rsidP="001F397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C76D6E">
        <w:tc>
          <w:tcPr>
            <w:tcW w:w="1809" w:type="dxa"/>
            <w:vMerge w:val="restart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B46B2" w:rsidRPr="00C109DF" w:rsidTr="00C76D6E">
        <w:tc>
          <w:tcPr>
            <w:tcW w:w="1809" w:type="dxa"/>
            <w:vMerge/>
          </w:tcPr>
          <w:p w:rsidR="00DB46B2" w:rsidRPr="00C109DF" w:rsidRDefault="00DB46B2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50 005 200,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16 743 000,0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50 005 200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16 743 000,0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Pr="00C109DF" w:rsidRDefault="00DB46B2" w:rsidP="00A34C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DB46B2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A96AF6">
              <w:rPr>
                <w:rFonts w:ascii="Times New Roman" w:hAnsi="Times New Roman"/>
                <w:b/>
                <w:sz w:val="20"/>
                <w:szCs w:val="20"/>
              </w:rPr>
              <w:t> 490 776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46B2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6AF6">
              <w:rPr>
                <w:rFonts w:ascii="Times New Roman" w:hAnsi="Times New Roman"/>
                <w:sz w:val="20"/>
                <w:szCs w:val="20"/>
              </w:rPr>
              <w:t>7 228 576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B46B2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A96AF6">
              <w:rPr>
                <w:rFonts w:ascii="Times New Roman" w:hAnsi="Times New Roman"/>
                <w:b/>
                <w:sz w:val="20"/>
                <w:szCs w:val="20"/>
              </w:rPr>
              <w:t> 490 776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6AF6">
              <w:rPr>
                <w:rFonts w:ascii="Times New Roman" w:hAnsi="Times New Roman"/>
                <w:sz w:val="20"/>
                <w:szCs w:val="20"/>
              </w:rPr>
              <w:t>7 228 576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6B2" w:rsidRPr="00C109DF" w:rsidRDefault="00DB46B2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3AD8" w:rsidRDefault="0080387E" w:rsidP="00EF1B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</w:t>
      </w:r>
      <w:r w:rsidR="00E83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A96AF6">
        <w:rPr>
          <w:rFonts w:ascii="Times New Roman" w:hAnsi="Times New Roman"/>
          <w:sz w:val="24"/>
          <w:szCs w:val="24"/>
        </w:rPr>
        <w:t>48</w:t>
      </w:r>
      <w:r w:rsidR="00E83AD8">
        <w:rPr>
          <w:rFonts w:ascii="Times New Roman" w:hAnsi="Times New Roman"/>
          <w:sz w:val="24"/>
          <w:szCs w:val="24"/>
        </w:rPr>
        <w:t xml:space="preserve">5 </w:t>
      </w:r>
      <w:r w:rsidR="00A96AF6">
        <w:rPr>
          <w:rFonts w:ascii="Times New Roman" w:hAnsi="Times New Roman"/>
          <w:sz w:val="24"/>
          <w:szCs w:val="24"/>
        </w:rPr>
        <w:t>576</w:t>
      </w:r>
      <w:r w:rsidR="00BD172E">
        <w:rPr>
          <w:rFonts w:ascii="Times New Roman" w:hAnsi="Times New Roman"/>
          <w:sz w:val="24"/>
          <w:szCs w:val="24"/>
        </w:rPr>
        <w:t xml:space="preserve">,00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A96AF6">
        <w:rPr>
          <w:rFonts w:ascii="Times New Roman" w:hAnsi="Times New Roman"/>
          <w:sz w:val="24"/>
          <w:szCs w:val="24"/>
        </w:rPr>
        <w:t>2,90</w:t>
      </w:r>
      <w:r w:rsidRPr="0058725D">
        <w:rPr>
          <w:rFonts w:ascii="Times New Roman" w:hAnsi="Times New Roman"/>
          <w:sz w:val="24"/>
          <w:szCs w:val="24"/>
        </w:rPr>
        <w:t>%)</w:t>
      </w:r>
      <w:r w:rsidR="00EF1B2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A96AF6" w:rsidRPr="00A96AF6">
        <w:rPr>
          <w:rFonts w:ascii="Times New Roman" w:hAnsi="Times New Roman"/>
          <w:sz w:val="24"/>
          <w:szCs w:val="24"/>
        </w:rPr>
        <w:t xml:space="preserve"> </w:t>
      </w:r>
      <w:r w:rsidR="00A96AF6">
        <w:rPr>
          <w:rFonts w:ascii="Times New Roman" w:hAnsi="Times New Roman"/>
          <w:sz w:val="24"/>
          <w:szCs w:val="24"/>
        </w:rPr>
        <w:t>в связи с повышением заработной платы на 6,3 % с 01.07.2023 года</w:t>
      </w:r>
      <w:r w:rsidR="00EF1B2A">
        <w:rPr>
          <w:rFonts w:ascii="Times New Roman" w:hAnsi="Times New Roman"/>
          <w:sz w:val="24"/>
          <w:szCs w:val="24"/>
        </w:rPr>
        <w:t>,</w:t>
      </w:r>
      <w:r w:rsidR="00E83AD8">
        <w:rPr>
          <w:rFonts w:ascii="Times New Roman" w:hAnsi="Times New Roman"/>
          <w:sz w:val="24"/>
          <w:szCs w:val="24"/>
        </w:rPr>
        <w:t xml:space="preserve"> в том числе:</w:t>
      </w:r>
    </w:p>
    <w:p w:rsidR="00C36E87" w:rsidRDefault="00E83AD8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36E87">
        <w:rPr>
          <w:rFonts w:ascii="Times New Roman" w:hAnsi="Times New Roman"/>
          <w:sz w:val="24"/>
          <w:szCs w:val="24"/>
        </w:rPr>
        <w:t xml:space="preserve">- в сумме </w:t>
      </w:r>
      <w:r w:rsidR="00A96AF6">
        <w:rPr>
          <w:rFonts w:ascii="Times New Roman" w:hAnsi="Times New Roman"/>
          <w:sz w:val="24"/>
          <w:szCs w:val="24"/>
        </w:rPr>
        <w:t>372 946</w:t>
      </w:r>
      <w:r w:rsidRPr="00C36E87">
        <w:rPr>
          <w:rFonts w:ascii="Times New Roman" w:hAnsi="Times New Roman"/>
          <w:sz w:val="24"/>
          <w:szCs w:val="24"/>
        </w:rPr>
        <w:t>,00 руб. по КВР 12</w:t>
      </w:r>
      <w:r w:rsidR="00A96AF6">
        <w:rPr>
          <w:rFonts w:ascii="Times New Roman" w:hAnsi="Times New Roman"/>
          <w:sz w:val="24"/>
          <w:szCs w:val="24"/>
        </w:rPr>
        <w:t>1</w:t>
      </w:r>
      <w:r w:rsidRPr="00C36E87">
        <w:rPr>
          <w:rFonts w:ascii="Times New Roman" w:hAnsi="Times New Roman"/>
          <w:sz w:val="24"/>
          <w:szCs w:val="24"/>
        </w:rPr>
        <w:t xml:space="preserve"> «</w:t>
      </w:r>
      <w:r w:rsidR="00A96AF6" w:rsidRPr="007B2B61">
        <w:rPr>
          <w:rFonts w:ascii="Times New Roman" w:hAnsi="Times New Roman"/>
          <w:sz w:val="24"/>
          <w:szCs w:val="24"/>
        </w:rPr>
        <w:t>Фонд оплаты труда государственных (муниципальных) органов</w:t>
      </w:r>
      <w:r w:rsidR="00C36E87">
        <w:rPr>
          <w:rFonts w:ascii="Times New Roman" w:hAnsi="Times New Roman"/>
          <w:sz w:val="24"/>
          <w:szCs w:val="24"/>
        </w:rPr>
        <w:t>»;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36E87">
        <w:rPr>
          <w:rFonts w:ascii="Times New Roman" w:hAnsi="Times New Roman"/>
          <w:sz w:val="24"/>
          <w:szCs w:val="24"/>
        </w:rPr>
        <w:t xml:space="preserve">в сумме </w:t>
      </w:r>
      <w:r w:rsidR="00A96AF6">
        <w:rPr>
          <w:rFonts w:ascii="Times New Roman" w:hAnsi="Times New Roman"/>
          <w:sz w:val="24"/>
          <w:szCs w:val="24"/>
        </w:rPr>
        <w:t>112 630</w:t>
      </w:r>
      <w:r w:rsidRPr="00C36E87">
        <w:rPr>
          <w:rFonts w:ascii="Times New Roman" w:hAnsi="Times New Roman"/>
          <w:sz w:val="24"/>
          <w:szCs w:val="24"/>
        </w:rPr>
        <w:t>,00 руб. по КВР</w:t>
      </w:r>
      <w:r>
        <w:rPr>
          <w:rFonts w:ascii="Times New Roman" w:hAnsi="Times New Roman"/>
          <w:sz w:val="24"/>
          <w:szCs w:val="24"/>
        </w:rPr>
        <w:t xml:space="preserve"> </w:t>
      </w:r>
      <w:r w:rsidR="00A96AF6">
        <w:rPr>
          <w:rFonts w:ascii="Times New Roman" w:hAnsi="Times New Roman"/>
          <w:sz w:val="24"/>
          <w:szCs w:val="24"/>
        </w:rPr>
        <w:t xml:space="preserve">129 </w:t>
      </w:r>
      <w:r>
        <w:rPr>
          <w:rFonts w:ascii="Times New Roman" w:hAnsi="Times New Roman"/>
          <w:sz w:val="24"/>
          <w:szCs w:val="24"/>
        </w:rPr>
        <w:t>«</w:t>
      </w:r>
      <w:r w:rsidR="00A96AF6" w:rsidRPr="007B2B61">
        <w:rPr>
          <w:rFonts w:ascii="Times New Roman" w:hAnsi="Times New Roman"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/>
          <w:sz w:val="24"/>
          <w:szCs w:val="24"/>
        </w:rPr>
        <w:t>».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6AF6" w:rsidRPr="00C440B3" w:rsidRDefault="00A96AF6" w:rsidP="00A96A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C440B3">
        <w:rPr>
          <w:rFonts w:ascii="Times New Roman" w:hAnsi="Times New Roman"/>
          <w:sz w:val="24"/>
          <w:szCs w:val="24"/>
        </w:rPr>
        <w:t>Перераспределение бюджетных ассигнований за счет средств бюджета округа в 202</w:t>
      </w:r>
      <w:r>
        <w:rPr>
          <w:rFonts w:ascii="Times New Roman" w:hAnsi="Times New Roman"/>
          <w:sz w:val="24"/>
          <w:szCs w:val="24"/>
        </w:rPr>
        <w:t>3</w:t>
      </w:r>
      <w:r w:rsidRPr="00C440B3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33 731</w:t>
      </w:r>
      <w:r w:rsidRPr="00C440B3">
        <w:rPr>
          <w:rFonts w:ascii="Times New Roman" w:hAnsi="Times New Roman"/>
          <w:sz w:val="24"/>
          <w:szCs w:val="24"/>
        </w:rPr>
        <w:t>,00 руб. по мероприятию 1.1 «Руководство и управление в сфере установленных функций и полномочий</w:t>
      </w:r>
      <w:r w:rsidRPr="00A96AF6">
        <w:rPr>
          <w:rFonts w:ascii="Times New Roman" w:hAnsi="Times New Roman"/>
          <w:sz w:val="24"/>
          <w:szCs w:val="24"/>
        </w:rPr>
        <w:t xml:space="preserve"> </w:t>
      </w:r>
      <w:r w:rsidRPr="002366E0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C440B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B1945">
        <w:rPr>
          <w:rFonts w:ascii="Times New Roman" w:hAnsi="Times New Roman"/>
          <w:sz w:val="24"/>
          <w:szCs w:val="24"/>
        </w:rPr>
        <w:t>целью приведения в соответствие с классификацией вид</w:t>
      </w:r>
      <w:r>
        <w:rPr>
          <w:rFonts w:ascii="Times New Roman" w:hAnsi="Times New Roman"/>
          <w:sz w:val="24"/>
          <w:szCs w:val="24"/>
        </w:rPr>
        <w:t>ов</w:t>
      </w:r>
      <w:r w:rsidRPr="00EB1945">
        <w:rPr>
          <w:rFonts w:ascii="Times New Roman" w:hAnsi="Times New Roman"/>
          <w:sz w:val="24"/>
          <w:szCs w:val="24"/>
        </w:rPr>
        <w:t xml:space="preserve"> расхода</w:t>
      </w:r>
      <w:r w:rsidRPr="00C44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440B3">
        <w:rPr>
          <w:rFonts w:ascii="Times New Roman" w:hAnsi="Times New Roman"/>
          <w:sz w:val="24"/>
          <w:szCs w:val="24"/>
        </w:rPr>
        <w:t>КВР 244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5A86">
        <w:rPr>
          <w:rFonts w:ascii="Times New Roman" w:hAnsi="Times New Roman"/>
          <w:sz w:val="24"/>
          <w:szCs w:val="24"/>
        </w:rPr>
        <w:t>Прочая закупка товаров, работ и услуг</w:t>
      </w:r>
      <w:r>
        <w:rPr>
          <w:rFonts w:ascii="Times New Roman" w:hAnsi="Times New Roman"/>
          <w:sz w:val="24"/>
          <w:szCs w:val="24"/>
        </w:rPr>
        <w:t xml:space="preserve">» на </w:t>
      </w:r>
      <w:r w:rsidRPr="007F5315">
        <w:rPr>
          <w:rFonts w:ascii="Times New Roman" w:hAnsi="Times New Roman"/>
          <w:sz w:val="24"/>
          <w:szCs w:val="24"/>
        </w:rPr>
        <w:t>КВР 1</w:t>
      </w:r>
      <w:r>
        <w:rPr>
          <w:rFonts w:ascii="Times New Roman" w:hAnsi="Times New Roman"/>
          <w:sz w:val="24"/>
          <w:szCs w:val="24"/>
        </w:rPr>
        <w:t>2</w:t>
      </w:r>
      <w:r w:rsidRPr="007F53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5A86">
        <w:rPr>
          <w:rFonts w:ascii="Times New Roman" w:hAnsi="Times New Roman"/>
          <w:sz w:val="24"/>
          <w:szCs w:val="24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hAnsi="Times New Roman"/>
          <w:sz w:val="24"/>
          <w:szCs w:val="24"/>
        </w:rPr>
        <w:t>»</w:t>
      </w:r>
      <w:r w:rsidRPr="007F5315">
        <w:rPr>
          <w:rFonts w:ascii="Times New Roman" w:hAnsi="Times New Roman"/>
          <w:sz w:val="24"/>
          <w:szCs w:val="24"/>
        </w:rPr>
        <w:t>.</w:t>
      </w:r>
    </w:p>
    <w:p w:rsidR="00A96AF6" w:rsidRDefault="00A96AF6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08B5" w:rsidRPr="008A7862" w:rsidRDefault="00E108B5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192CA4">
        <w:rPr>
          <w:rFonts w:ascii="Times New Roman" w:hAnsi="Times New Roman"/>
          <w:sz w:val="24"/>
          <w:szCs w:val="24"/>
        </w:rPr>
        <w:t xml:space="preserve">Шарыповского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Шарыповского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1F3978">
        <w:rPr>
          <w:rFonts w:ascii="Times New Roman" w:hAnsi="Times New Roman"/>
          <w:sz w:val="24"/>
          <w:szCs w:val="24"/>
        </w:rPr>
        <w:t>, от 06.03.2023</w:t>
      </w:r>
      <w:r w:rsidR="0068668E">
        <w:rPr>
          <w:rFonts w:ascii="Times New Roman" w:hAnsi="Times New Roman"/>
          <w:sz w:val="24"/>
          <w:szCs w:val="24"/>
        </w:rPr>
        <w:t>)</w:t>
      </w:r>
      <w:r w:rsidR="004D0F9C" w:rsidRPr="0058725D">
        <w:rPr>
          <w:rFonts w:ascii="Times New Roman" w:hAnsi="Times New Roman"/>
          <w:sz w:val="24"/>
          <w:szCs w:val="24"/>
        </w:rPr>
        <w:t>.</w:t>
      </w: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B64" w:rsidRPr="0058725D" w:rsidRDefault="005B6B64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F1B2A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44" w:rsidRDefault="00BC1B44" w:rsidP="000B0550">
      <w:pPr>
        <w:spacing w:after="0" w:line="240" w:lineRule="auto"/>
      </w:pPr>
      <w:r>
        <w:separator/>
      </w:r>
    </w:p>
  </w:endnote>
  <w:endnote w:type="continuationSeparator" w:id="0">
    <w:p w:rsidR="00BC1B44" w:rsidRDefault="00BC1B44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C5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44" w:rsidRDefault="00BC1B44" w:rsidP="000B0550">
      <w:pPr>
        <w:spacing w:after="0" w:line="240" w:lineRule="auto"/>
      </w:pPr>
      <w:r>
        <w:separator/>
      </w:r>
    </w:p>
  </w:footnote>
  <w:footnote w:type="continuationSeparator" w:id="0">
    <w:p w:rsidR="00BC1B44" w:rsidRDefault="00BC1B44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1414"/>
    <w:rsid w:val="00192CA4"/>
    <w:rsid w:val="00194DF4"/>
    <w:rsid w:val="00195BD4"/>
    <w:rsid w:val="001D156A"/>
    <w:rsid w:val="001D1614"/>
    <w:rsid w:val="001F3978"/>
    <w:rsid w:val="00244CD8"/>
    <w:rsid w:val="00253CC3"/>
    <w:rsid w:val="00255CCE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868F5"/>
    <w:rsid w:val="00395731"/>
    <w:rsid w:val="003A2756"/>
    <w:rsid w:val="003A3876"/>
    <w:rsid w:val="003A7D25"/>
    <w:rsid w:val="003D08FE"/>
    <w:rsid w:val="003D373E"/>
    <w:rsid w:val="003E38DD"/>
    <w:rsid w:val="003E3D3E"/>
    <w:rsid w:val="003F04EC"/>
    <w:rsid w:val="0040017D"/>
    <w:rsid w:val="00412E0D"/>
    <w:rsid w:val="00466D51"/>
    <w:rsid w:val="00471218"/>
    <w:rsid w:val="00485949"/>
    <w:rsid w:val="0049366E"/>
    <w:rsid w:val="004948A0"/>
    <w:rsid w:val="0049571A"/>
    <w:rsid w:val="004B2087"/>
    <w:rsid w:val="004D0F9C"/>
    <w:rsid w:val="004D6B65"/>
    <w:rsid w:val="004D7E5C"/>
    <w:rsid w:val="004E5593"/>
    <w:rsid w:val="004F420C"/>
    <w:rsid w:val="005031B3"/>
    <w:rsid w:val="005163F8"/>
    <w:rsid w:val="00524406"/>
    <w:rsid w:val="00526AC5"/>
    <w:rsid w:val="0053060E"/>
    <w:rsid w:val="005307C6"/>
    <w:rsid w:val="005317AE"/>
    <w:rsid w:val="0053365B"/>
    <w:rsid w:val="00535912"/>
    <w:rsid w:val="0054476D"/>
    <w:rsid w:val="00553ABB"/>
    <w:rsid w:val="005617CA"/>
    <w:rsid w:val="0056218A"/>
    <w:rsid w:val="00562F95"/>
    <w:rsid w:val="005712AE"/>
    <w:rsid w:val="005714A9"/>
    <w:rsid w:val="00573C0B"/>
    <w:rsid w:val="0058325C"/>
    <w:rsid w:val="005848E7"/>
    <w:rsid w:val="0058725D"/>
    <w:rsid w:val="00596960"/>
    <w:rsid w:val="005A4E04"/>
    <w:rsid w:val="005A5026"/>
    <w:rsid w:val="005B6B64"/>
    <w:rsid w:val="005C4713"/>
    <w:rsid w:val="005F7D74"/>
    <w:rsid w:val="00607E48"/>
    <w:rsid w:val="0068668E"/>
    <w:rsid w:val="006A0B7A"/>
    <w:rsid w:val="006B3940"/>
    <w:rsid w:val="006D6CC4"/>
    <w:rsid w:val="006E099D"/>
    <w:rsid w:val="006E5C89"/>
    <w:rsid w:val="00715437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5532F"/>
    <w:rsid w:val="00870AC4"/>
    <w:rsid w:val="0087359D"/>
    <w:rsid w:val="00885BAC"/>
    <w:rsid w:val="00886B28"/>
    <w:rsid w:val="008927A5"/>
    <w:rsid w:val="008A2D17"/>
    <w:rsid w:val="008B1FB8"/>
    <w:rsid w:val="008B7B4B"/>
    <w:rsid w:val="008D5705"/>
    <w:rsid w:val="008D76C5"/>
    <w:rsid w:val="008E50B9"/>
    <w:rsid w:val="008E6478"/>
    <w:rsid w:val="00903FDD"/>
    <w:rsid w:val="00904627"/>
    <w:rsid w:val="00905D5D"/>
    <w:rsid w:val="009063A0"/>
    <w:rsid w:val="009155E8"/>
    <w:rsid w:val="00920F9A"/>
    <w:rsid w:val="009239DC"/>
    <w:rsid w:val="009248CF"/>
    <w:rsid w:val="00942839"/>
    <w:rsid w:val="0095039D"/>
    <w:rsid w:val="009843C2"/>
    <w:rsid w:val="009A011C"/>
    <w:rsid w:val="009A2846"/>
    <w:rsid w:val="009C54C7"/>
    <w:rsid w:val="009C5C66"/>
    <w:rsid w:val="009E5213"/>
    <w:rsid w:val="009F1C13"/>
    <w:rsid w:val="009F32E4"/>
    <w:rsid w:val="009F6E15"/>
    <w:rsid w:val="00A01CC1"/>
    <w:rsid w:val="00A05863"/>
    <w:rsid w:val="00A14732"/>
    <w:rsid w:val="00A27F74"/>
    <w:rsid w:val="00A56163"/>
    <w:rsid w:val="00A57F7E"/>
    <w:rsid w:val="00A7067B"/>
    <w:rsid w:val="00A72605"/>
    <w:rsid w:val="00A82AEB"/>
    <w:rsid w:val="00A8652F"/>
    <w:rsid w:val="00A94CED"/>
    <w:rsid w:val="00A96AF6"/>
    <w:rsid w:val="00AB2FF6"/>
    <w:rsid w:val="00AC26B4"/>
    <w:rsid w:val="00AF3457"/>
    <w:rsid w:val="00B04234"/>
    <w:rsid w:val="00B202E9"/>
    <w:rsid w:val="00B44A87"/>
    <w:rsid w:val="00B620BA"/>
    <w:rsid w:val="00B6253B"/>
    <w:rsid w:val="00B64EC7"/>
    <w:rsid w:val="00B6507C"/>
    <w:rsid w:val="00B66BC2"/>
    <w:rsid w:val="00B66BD3"/>
    <w:rsid w:val="00B75521"/>
    <w:rsid w:val="00BA2E5D"/>
    <w:rsid w:val="00BC1B44"/>
    <w:rsid w:val="00BC4298"/>
    <w:rsid w:val="00BD172E"/>
    <w:rsid w:val="00BD2457"/>
    <w:rsid w:val="00BF1BCB"/>
    <w:rsid w:val="00BF24BA"/>
    <w:rsid w:val="00C109DF"/>
    <w:rsid w:val="00C151DF"/>
    <w:rsid w:val="00C36E87"/>
    <w:rsid w:val="00C37586"/>
    <w:rsid w:val="00C51E1A"/>
    <w:rsid w:val="00C56A15"/>
    <w:rsid w:val="00C646D4"/>
    <w:rsid w:val="00C65346"/>
    <w:rsid w:val="00C67E06"/>
    <w:rsid w:val="00C76483"/>
    <w:rsid w:val="00C838E3"/>
    <w:rsid w:val="00CB0EF0"/>
    <w:rsid w:val="00CB586C"/>
    <w:rsid w:val="00CC1D01"/>
    <w:rsid w:val="00CD1AD6"/>
    <w:rsid w:val="00CF29FA"/>
    <w:rsid w:val="00CF71EC"/>
    <w:rsid w:val="00D04173"/>
    <w:rsid w:val="00D04D1B"/>
    <w:rsid w:val="00D15708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46B2"/>
    <w:rsid w:val="00DB7DD8"/>
    <w:rsid w:val="00DD00E0"/>
    <w:rsid w:val="00DD4F63"/>
    <w:rsid w:val="00DD58AD"/>
    <w:rsid w:val="00E029A1"/>
    <w:rsid w:val="00E06B7D"/>
    <w:rsid w:val="00E108B5"/>
    <w:rsid w:val="00E14ADA"/>
    <w:rsid w:val="00E329C4"/>
    <w:rsid w:val="00E4483A"/>
    <w:rsid w:val="00E44922"/>
    <w:rsid w:val="00E50C9A"/>
    <w:rsid w:val="00E51A26"/>
    <w:rsid w:val="00E63CB9"/>
    <w:rsid w:val="00E64113"/>
    <w:rsid w:val="00E643B8"/>
    <w:rsid w:val="00E64E53"/>
    <w:rsid w:val="00E651A4"/>
    <w:rsid w:val="00E674B5"/>
    <w:rsid w:val="00E72F01"/>
    <w:rsid w:val="00E763DC"/>
    <w:rsid w:val="00E80D80"/>
    <w:rsid w:val="00E83AD8"/>
    <w:rsid w:val="00E84536"/>
    <w:rsid w:val="00E91917"/>
    <w:rsid w:val="00EA03D6"/>
    <w:rsid w:val="00EB4D7B"/>
    <w:rsid w:val="00EE05F2"/>
    <w:rsid w:val="00EF1B2A"/>
    <w:rsid w:val="00F01E3D"/>
    <w:rsid w:val="00F04CF3"/>
    <w:rsid w:val="00F06113"/>
    <w:rsid w:val="00F1259F"/>
    <w:rsid w:val="00F1390A"/>
    <w:rsid w:val="00F17758"/>
    <w:rsid w:val="00F23DCB"/>
    <w:rsid w:val="00F24DBA"/>
    <w:rsid w:val="00F349D1"/>
    <w:rsid w:val="00F5005D"/>
    <w:rsid w:val="00F73D6D"/>
    <w:rsid w:val="00F94890"/>
    <w:rsid w:val="00F95105"/>
    <w:rsid w:val="00F972F4"/>
    <w:rsid w:val="00FA203E"/>
    <w:rsid w:val="00FA65A4"/>
    <w:rsid w:val="00FA6C01"/>
    <w:rsid w:val="00FA793C"/>
    <w:rsid w:val="00FC1EB2"/>
    <w:rsid w:val="00FC3DBD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55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6A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550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6A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B1BC-477D-49F9-B1D6-5ABFFDEB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2023-01-10T03:31:00Z</cp:lastPrinted>
  <dcterms:created xsi:type="dcterms:W3CDTF">2023-07-12T07:33:00Z</dcterms:created>
  <dcterms:modified xsi:type="dcterms:W3CDTF">2023-07-12T07:33:00Z</dcterms:modified>
</cp:coreProperties>
</file>