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7E1A8B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8441C0" w:rsidRPr="00C7529B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441C0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>»</w:t>
      </w:r>
      <w:r w:rsidR="0002360D">
        <w:rPr>
          <w:rFonts w:ascii="Times New Roman" w:hAnsi="Times New Roman"/>
          <w:sz w:val="24"/>
          <w:szCs w:val="24"/>
        </w:rPr>
        <w:t xml:space="preserve"> 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1C0" w:rsidRPr="009E34FA" w:rsidRDefault="00930B18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441C0" w:rsidRPr="00186C3D">
        <w:rPr>
          <w:rFonts w:ascii="Times New Roman" w:hAnsi="Times New Roman"/>
          <w:sz w:val="24"/>
          <w:szCs w:val="24"/>
        </w:rPr>
        <w:t xml:space="preserve"> ноября 202</w:t>
      </w:r>
      <w:r w:rsidR="00172E98">
        <w:rPr>
          <w:rFonts w:ascii="Times New Roman" w:hAnsi="Times New Roman"/>
          <w:sz w:val="24"/>
          <w:szCs w:val="24"/>
        </w:rPr>
        <w:t>3</w:t>
      </w:r>
      <w:r w:rsidR="008441C0" w:rsidRPr="00186C3D">
        <w:rPr>
          <w:rFonts w:ascii="Times New Roman" w:hAnsi="Times New Roman"/>
          <w:sz w:val="24"/>
          <w:szCs w:val="24"/>
        </w:rPr>
        <w:t xml:space="preserve"> год</w:t>
      </w:r>
      <w:r w:rsidR="008441C0" w:rsidRPr="009E34FA">
        <w:rPr>
          <w:rFonts w:ascii="Times New Roman" w:hAnsi="Times New Roman"/>
          <w:sz w:val="24"/>
          <w:szCs w:val="24"/>
        </w:rPr>
        <w:t xml:space="preserve"> </w:t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186C3D">
        <w:rPr>
          <w:rFonts w:ascii="Times New Roman" w:hAnsi="Times New Roman"/>
          <w:sz w:val="24"/>
          <w:szCs w:val="24"/>
        </w:rPr>
        <w:t xml:space="preserve">                 </w:t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2E708B">
        <w:rPr>
          <w:rFonts w:ascii="Times New Roman" w:hAnsi="Times New Roman"/>
          <w:sz w:val="24"/>
          <w:szCs w:val="24"/>
        </w:rPr>
        <w:t xml:space="preserve">     </w:t>
      </w:r>
      <w:r w:rsidR="008441C0" w:rsidRPr="009E34FA">
        <w:rPr>
          <w:rFonts w:ascii="Times New Roman" w:hAnsi="Times New Roman"/>
          <w:sz w:val="24"/>
          <w:szCs w:val="24"/>
        </w:rPr>
        <w:tab/>
      </w:r>
      <w:r w:rsidR="008441C0">
        <w:rPr>
          <w:rFonts w:ascii="Times New Roman" w:hAnsi="Times New Roman"/>
          <w:sz w:val="24"/>
          <w:szCs w:val="24"/>
        </w:rPr>
        <w:tab/>
      </w:r>
      <w:r w:rsidR="008441C0" w:rsidRPr="009E34FA">
        <w:rPr>
          <w:rFonts w:ascii="Times New Roman" w:hAnsi="Times New Roman"/>
          <w:sz w:val="24"/>
          <w:szCs w:val="24"/>
        </w:rPr>
        <w:t xml:space="preserve">№ </w:t>
      </w:r>
      <w:r w:rsidR="00172E98">
        <w:rPr>
          <w:rFonts w:ascii="Times New Roman" w:hAnsi="Times New Roman"/>
          <w:sz w:val="24"/>
          <w:szCs w:val="24"/>
        </w:rPr>
        <w:t>49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6B4E83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7916C2" w:rsidRPr="000840ED">
        <w:rPr>
          <w:rFonts w:ascii="Times New Roman" w:hAnsi="Times New Roman"/>
          <w:sz w:val="24"/>
          <w:szCs w:val="24"/>
        </w:rPr>
        <w:t xml:space="preserve">29.09.2021 № 17-136р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7916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7916C2">
        <w:rPr>
          <w:rFonts w:ascii="Times New Roman" w:hAnsi="Times New Roman"/>
          <w:sz w:val="24"/>
          <w:szCs w:val="24"/>
        </w:rPr>
        <w:t xml:space="preserve"> и </w:t>
      </w:r>
      <w:r w:rsidR="007916C2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7916C2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6C2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7916C2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16C2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16C2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16C2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7916C2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7916C2" w:rsidRPr="000840ED">
        <w:rPr>
          <w:color w:val="000000"/>
          <w:sz w:val="24"/>
          <w:szCs w:val="24"/>
        </w:rPr>
        <w:t xml:space="preserve"> </w:t>
      </w:r>
      <w:r w:rsidR="007916C2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7916C2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7916C2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7916C2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7916C2" w:rsidRPr="000840ED">
        <w:rPr>
          <w:rStyle w:val="1"/>
          <w:color w:val="000000"/>
          <w:sz w:val="24"/>
          <w:szCs w:val="24"/>
        </w:rPr>
        <w:t xml:space="preserve"> края</w:t>
      </w:r>
      <w:r w:rsidR="007916C2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D50AF2">
        <w:rPr>
          <w:rFonts w:ascii="Times New Roman" w:hAnsi="Times New Roman"/>
          <w:sz w:val="24"/>
          <w:szCs w:val="24"/>
        </w:rPr>
        <w:t>15</w:t>
      </w:r>
      <w:r w:rsidR="00D50AF2" w:rsidRPr="009E34FA">
        <w:rPr>
          <w:rFonts w:ascii="Times New Roman" w:hAnsi="Times New Roman"/>
          <w:sz w:val="24"/>
          <w:szCs w:val="24"/>
        </w:rPr>
        <w:t>.0</w:t>
      </w:r>
      <w:r w:rsidR="00D50AF2">
        <w:rPr>
          <w:rFonts w:ascii="Times New Roman" w:hAnsi="Times New Roman"/>
          <w:sz w:val="24"/>
          <w:szCs w:val="24"/>
        </w:rPr>
        <w:t>3</w:t>
      </w:r>
      <w:r w:rsidR="00D50AF2" w:rsidRPr="009E34FA">
        <w:rPr>
          <w:rFonts w:ascii="Times New Roman" w:hAnsi="Times New Roman"/>
          <w:sz w:val="24"/>
          <w:szCs w:val="24"/>
        </w:rPr>
        <w:t>.20</w:t>
      </w:r>
      <w:r w:rsidR="00D50AF2">
        <w:rPr>
          <w:rFonts w:ascii="Times New Roman" w:hAnsi="Times New Roman"/>
          <w:sz w:val="24"/>
          <w:szCs w:val="24"/>
        </w:rPr>
        <w:t>2</w:t>
      </w:r>
      <w:r w:rsidR="00D50AF2" w:rsidRPr="009E34FA">
        <w:rPr>
          <w:rFonts w:ascii="Times New Roman" w:hAnsi="Times New Roman"/>
          <w:sz w:val="24"/>
          <w:szCs w:val="24"/>
        </w:rPr>
        <w:t xml:space="preserve">1 № </w:t>
      </w:r>
      <w:r w:rsidR="00D50AF2">
        <w:rPr>
          <w:rFonts w:ascii="Times New Roman" w:hAnsi="Times New Roman"/>
          <w:sz w:val="24"/>
          <w:szCs w:val="24"/>
        </w:rPr>
        <w:t>156</w:t>
      </w:r>
      <w:r w:rsidR="00D50AF2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D50AF2"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2E708B" w:rsidRPr="002E708B">
        <w:rPr>
          <w:rFonts w:ascii="Times New Roman" w:hAnsi="Times New Roman"/>
          <w:sz w:val="24"/>
          <w:szCs w:val="24"/>
        </w:rPr>
        <w:t>1</w:t>
      </w:r>
      <w:r w:rsidR="007916C2">
        <w:rPr>
          <w:rFonts w:ascii="Times New Roman" w:hAnsi="Times New Roman"/>
          <w:sz w:val="24"/>
          <w:szCs w:val="24"/>
        </w:rPr>
        <w:t>3</w:t>
      </w:r>
      <w:r w:rsidRPr="002E708B">
        <w:rPr>
          <w:rFonts w:ascii="Times New Roman" w:hAnsi="Times New Roman"/>
          <w:sz w:val="24"/>
          <w:szCs w:val="24"/>
        </w:rPr>
        <w:t xml:space="preserve"> ноября 202</w:t>
      </w:r>
      <w:r w:rsidR="007916C2">
        <w:rPr>
          <w:rFonts w:ascii="Times New Roman" w:hAnsi="Times New Roman"/>
          <w:sz w:val="24"/>
          <w:szCs w:val="24"/>
        </w:rPr>
        <w:t>3</w:t>
      </w:r>
      <w:r w:rsidRPr="002E708B">
        <w:rPr>
          <w:rFonts w:ascii="Times New Roman" w:hAnsi="Times New Roman"/>
          <w:sz w:val="24"/>
          <w:szCs w:val="24"/>
        </w:rPr>
        <w:t xml:space="preserve"> года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D50AF2" w:rsidRPr="0085688A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D50AF2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50AF2" w:rsidRPr="0085688A">
        <w:rPr>
          <w:rFonts w:ascii="Times New Roman" w:hAnsi="Times New Roman"/>
          <w:sz w:val="24"/>
          <w:szCs w:val="24"/>
        </w:rPr>
        <w:t xml:space="preserve"> </w:t>
      </w:r>
      <w:r w:rsidR="00D50AF2">
        <w:rPr>
          <w:rFonts w:ascii="Times New Roman" w:hAnsi="Times New Roman"/>
          <w:sz w:val="24"/>
          <w:szCs w:val="24"/>
        </w:rPr>
        <w:t>муниципального округа</w:t>
      </w:r>
      <w:r w:rsidR="00D50AF2" w:rsidRPr="0085688A">
        <w:rPr>
          <w:rFonts w:ascii="Times New Roman" w:hAnsi="Times New Roman"/>
          <w:sz w:val="24"/>
          <w:szCs w:val="24"/>
        </w:rPr>
        <w:t>»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504E01" w:rsidRPr="00504E01">
        <w:rPr>
          <w:rFonts w:ascii="Times New Roman" w:hAnsi="Times New Roman"/>
          <w:sz w:val="24"/>
          <w:szCs w:val="24"/>
        </w:rPr>
        <w:t xml:space="preserve"> </w:t>
      </w:r>
      <w:r w:rsidR="00504E01">
        <w:rPr>
          <w:rFonts w:ascii="Times New Roman" w:hAnsi="Times New Roman"/>
          <w:sz w:val="24"/>
          <w:szCs w:val="24"/>
        </w:rPr>
        <w:t>(в ред. от 22.07.2022</w:t>
      </w:r>
      <w:r w:rsidR="007916C2">
        <w:rPr>
          <w:rFonts w:ascii="Times New Roman" w:hAnsi="Times New Roman"/>
          <w:sz w:val="24"/>
          <w:szCs w:val="24"/>
        </w:rPr>
        <w:t>,</w:t>
      </w:r>
      <w:r w:rsidR="007916C2" w:rsidRPr="000840ED">
        <w:rPr>
          <w:rFonts w:ascii="Times New Roman" w:hAnsi="Times New Roman"/>
          <w:sz w:val="24"/>
          <w:szCs w:val="24"/>
        </w:rPr>
        <w:t xml:space="preserve"> </w:t>
      </w:r>
      <w:r w:rsidR="007916C2">
        <w:rPr>
          <w:rFonts w:ascii="Times New Roman" w:hAnsi="Times New Roman"/>
          <w:sz w:val="24"/>
          <w:szCs w:val="24"/>
        </w:rPr>
        <w:t>от 04.04.2023</w:t>
      </w:r>
      <w:r w:rsidR="00504E01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504E01" w:rsidRPr="00504E01">
        <w:rPr>
          <w:rFonts w:ascii="Times New Roman" w:hAnsi="Times New Roman"/>
          <w:sz w:val="24"/>
          <w:szCs w:val="24"/>
        </w:rPr>
        <w:t xml:space="preserve"> </w:t>
      </w:r>
      <w:r w:rsidR="00504E01">
        <w:rPr>
          <w:rFonts w:ascii="Times New Roman" w:hAnsi="Times New Roman"/>
          <w:sz w:val="24"/>
          <w:szCs w:val="24"/>
        </w:rPr>
        <w:t>(в ред. от 03.08.2022</w:t>
      </w:r>
      <w:r w:rsidR="007916C2">
        <w:rPr>
          <w:rFonts w:ascii="Times New Roman" w:hAnsi="Times New Roman"/>
          <w:sz w:val="24"/>
          <w:szCs w:val="24"/>
        </w:rPr>
        <w:t>, от 23.08.2023 № 398-р</w:t>
      </w:r>
      <w:r w:rsidR="00504E01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2E708B" w:rsidRPr="002E708B">
        <w:rPr>
          <w:rFonts w:ascii="Times New Roman" w:hAnsi="Times New Roman"/>
          <w:sz w:val="24"/>
          <w:szCs w:val="24"/>
        </w:rPr>
        <w:t>1</w:t>
      </w:r>
      <w:r w:rsidR="007916C2">
        <w:rPr>
          <w:rFonts w:ascii="Times New Roman" w:hAnsi="Times New Roman"/>
          <w:sz w:val="24"/>
          <w:szCs w:val="24"/>
        </w:rPr>
        <w:t>3</w:t>
      </w:r>
      <w:r w:rsidRPr="002E708B">
        <w:rPr>
          <w:rFonts w:ascii="Times New Roman" w:hAnsi="Times New Roman"/>
          <w:sz w:val="24"/>
          <w:szCs w:val="24"/>
        </w:rPr>
        <w:t>-</w:t>
      </w:r>
      <w:r w:rsidR="00930B18">
        <w:rPr>
          <w:rFonts w:ascii="Times New Roman" w:hAnsi="Times New Roman"/>
          <w:sz w:val="24"/>
          <w:szCs w:val="24"/>
        </w:rPr>
        <w:t>20</w:t>
      </w:r>
      <w:r w:rsidRPr="002E708B">
        <w:rPr>
          <w:rFonts w:ascii="Times New Roman" w:hAnsi="Times New Roman"/>
          <w:sz w:val="24"/>
          <w:szCs w:val="24"/>
        </w:rPr>
        <w:t xml:space="preserve"> ноября 202</w:t>
      </w:r>
      <w:r w:rsidR="007916C2">
        <w:rPr>
          <w:rFonts w:ascii="Times New Roman" w:hAnsi="Times New Roman"/>
          <w:sz w:val="24"/>
          <w:szCs w:val="24"/>
        </w:rPr>
        <w:t>3</w:t>
      </w:r>
      <w:r w:rsidRPr="002E708B">
        <w:rPr>
          <w:rFonts w:ascii="Times New Roman" w:hAnsi="Times New Roman"/>
          <w:sz w:val="24"/>
          <w:szCs w:val="24"/>
        </w:rPr>
        <w:t xml:space="preserve"> года.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 w:rsidR="00FB54D9"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 w:rsidR="00FB54D9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FB54D9"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7916C2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FB54D9" w:rsidRPr="002E708B">
        <w:rPr>
          <w:rFonts w:ascii="Times New Roman" w:hAnsi="Times New Roman"/>
          <w:sz w:val="24"/>
          <w:szCs w:val="24"/>
        </w:rPr>
        <w:t>Развитие образования</w:t>
      </w:r>
      <w:r w:rsidRPr="002E708B"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="00FB54D9" w:rsidRPr="002E708B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FB54D9"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54D9" w:rsidRPr="002E708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2E708B">
        <w:rPr>
          <w:rFonts w:ascii="Times New Roman" w:hAnsi="Times New Roman"/>
          <w:sz w:val="24"/>
          <w:szCs w:val="24"/>
        </w:rPr>
        <w:t>.</w:t>
      </w:r>
    </w:p>
    <w:p w:rsidR="00FB54D9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 w:rsidR="00FB54D9" w:rsidRPr="002E708B">
        <w:rPr>
          <w:rFonts w:ascii="Times New Roman" w:hAnsi="Times New Roman"/>
          <w:sz w:val="24"/>
          <w:szCs w:val="24"/>
        </w:rPr>
        <w:t xml:space="preserve">: </w:t>
      </w:r>
    </w:p>
    <w:p w:rsidR="00FB54D9" w:rsidRPr="002E708B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>- муниципальное казенное учреждение «Управление культуры</w:t>
      </w:r>
      <w:r w:rsidR="002E708B" w:rsidRPr="002E708B">
        <w:rPr>
          <w:rFonts w:ascii="Times New Roman" w:hAnsi="Times New Roman"/>
          <w:sz w:val="24"/>
          <w:szCs w:val="24"/>
        </w:rPr>
        <w:t>, молодежной политики</w:t>
      </w:r>
      <w:r w:rsidRPr="002E708B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8441C0" w:rsidRPr="002E708B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E708B" w:rsidRPr="002E708B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8441C0" w:rsidRPr="002E708B">
        <w:rPr>
          <w:rFonts w:ascii="Times New Roman" w:hAnsi="Times New Roman"/>
          <w:sz w:val="24"/>
          <w:szCs w:val="24"/>
        </w:rPr>
        <w:t>.</w:t>
      </w: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Муниципальная программы включает в себя </w:t>
      </w:r>
      <w:r w:rsidR="00FB54D9" w:rsidRPr="002E708B">
        <w:rPr>
          <w:rFonts w:ascii="Times New Roman" w:hAnsi="Times New Roman"/>
          <w:sz w:val="24"/>
          <w:szCs w:val="24"/>
        </w:rPr>
        <w:t>четыре</w:t>
      </w:r>
      <w:r w:rsidRPr="002E708B">
        <w:rPr>
          <w:rFonts w:ascii="Times New Roman" w:hAnsi="Times New Roman"/>
          <w:sz w:val="24"/>
          <w:szCs w:val="24"/>
        </w:rPr>
        <w:t xml:space="preserve"> подпрограммы, реализация мероприятий которых призвана обеспечить достижение цели и решение программных задач:</w:t>
      </w:r>
    </w:p>
    <w:p w:rsidR="00AC40B6" w:rsidRPr="00504E01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4E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504E01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4E01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>оздоровления детей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B92ABD" w:rsidRPr="0085688A" w:rsidRDefault="00B92ABD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</w:t>
      </w:r>
      <w:r w:rsidR="00F9567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попечения родителей.</w:t>
      </w:r>
    </w:p>
    <w:p w:rsidR="00FB54D9" w:rsidRDefault="00FB54D9" w:rsidP="00FB54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r w:rsidR="00AC40B6" w:rsidRPr="00FB54D9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proofErr w:type="gramStart"/>
      <w:r w:rsidR="00AC40B6" w:rsidRPr="00FB5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5296" w:rsidRDefault="00195296" w:rsidP="00FB54D9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40B6" w:rsidRDefault="0047722D" w:rsidP="00FB54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95296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195296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1952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5296">
        <w:rPr>
          <w:rFonts w:ascii="Times New Roman" w:hAnsi="Times New Roman"/>
          <w:sz w:val="24"/>
          <w:szCs w:val="24"/>
        </w:rPr>
        <w:t xml:space="preserve"> </w:t>
      </w:r>
      <w:r w:rsidR="00930771" w:rsidRPr="00195296">
        <w:rPr>
          <w:rFonts w:ascii="Times New Roman" w:hAnsi="Times New Roman"/>
          <w:sz w:val="24"/>
          <w:szCs w:val="24"/>
        </w:rPr>
        <w:t>муниципального округа</w:t>
      </w:r>
      <w:r w:rsidRPr="00195296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5296">
        <w:rPr>
          <w:rFonts w:ascii="Times New Roman" w:hAnsi="Times New Roman"/>
          <w:i/>
          <w:sz w:val="24"/>
          <w:szCs w:val="24"/>
        </w:rPr>
        <w:t xml:space="preserve">           </w:t>
      </w:r>
      <w:r w:rsidRPr="00195296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195296" w:rsidRPr="00195296" w:rsidRDefault="00195296" w:rsidP="0019529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2. Обеспечение безопасного и качественного отдыха и оздоровления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</w:r>
      <w:r>
        <w:rPr>
          <w:rFonts w:ascii="Times New Roman" w:hAnsi="Times New Roman"/>
          <w:sz w:val="24"/>
          <w:szCs w:val="24"/>
        </w:rPr>
        <w:t>.</w:t>
      </w:r>
    </w:p>
    <w:p w:rsidR="00B92ABD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95296">
        <w:rPr>
          <w:rFonts w:ascii="Times New Roman" w:hAnsi="Times New Roman"/>
          <w:sz w:val="24"/>
          <w:szCs w:val="24"/>
        </w:rPr>
        <w:t>4. Создание условий для эффективного управления отраслью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E36021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8AF" w:rsidRPr="00E36021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021">
        <w:rPr>
          <w:rFonts w:ascii="Times New Roman" w:hAnsi="Times New Roman"/>
          <w:sz w:val="24"/>
          <w:szCs w:val="24"/>
        </w:rPr>
        <w:t xml:space="preserve">Стратегическая цель политики в области образования в </w:t>
      </w:r>
      <w:proofErr w:type="spellStart"/>
      <w:r w:rsidRPr="00E36021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30771" w:rsidRPr="00E36021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E36021">
        <w:rPr>
          <w:rFonts w:ascii="Times New Roman" w:hAnsi="Times New Roman"/>
          <w:sz w:val="24"/>
          <w:szCs w:val="24"/>
        </w:rPr>
        <w:t xml:space="preserve"> – это повышение доступности качественного образования современного уровня, соответствующего требованиям инновационного развития экономики и потребностями граждан.</w:t>
      </w:r>
    </w:p>
    <w:p w:rsidR="00DF6DBE" w:rsidRPr="002E708B" w:rsidRDefault="00DF6DB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3873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  <w:r w:rsidR="00696171" w:rsidRPr="009F3873">
        <w:rPr>
          <w:rFonts w:ascii="Times New Roman" w:hAnsi="Times New Roman"/>
          <w:sz w:val="24"/>
          <w:szCs w:val="24"/>
        </w:rPr>
        <w:t>на 202</w:t>
      </w:r>
      <w:r w:rsidR="008554BE">
        <w:rPr>
          <w:rFonts w:ascii="Times New Roman" w:hAnsi="Times New Roman"/>
          <w:sz w:val="24"/>
          <w:szCs w:val="24"/>
        </w:rPr>
        <w:t>4</w:t>
      </w:r>
      <w:r w:rsidR="00696171" w:rsidRPr="009F3873">
        <w:rPr>
          <w:rFonts w:ascii="Times New Roman" w:hAnsi="Times New Roman"/>
          <w:sz w:val="24"/>
          <w:szCs w:val="24"/>
        </w:rPr>
        <w:t xml:space="preserve"> – 202</w:t>
      </w:r>
      <w:r w:rsidR="008554BE">
        <w:rPr>
          <w:rFonts w:ascii="Times New Roman" w:hAnsi="Times New Roman"/>
          <w:sz w:val="24"/>
          <w:szCs w:val="24"/>
        </w:rPr>
        <w:t>6</w:t>
      </w:r>
      <w:r w:rsidR="00696171" w:rsidRPr="009F3873">
        <w:rPr>
          <w:rFonts w:ascii="Times New Roman" w:hAnsi="Times New Roman"/>
          <w:sz w:val="24"/>
          <w:szCs w:val="24"/>
        </w:rPr>
        <w:t xml:space="preserve"> годы </w:t>
      </w:r>
      <w:r w:rsidRPr="009F3873">
        <w:rPr>
          <w:rFonts w:ascii="Times New Roman" w:hAnsi="Times New Roman"/>
          <w:sz w:val="24"/>
          <w:szCs w:val="24"/>
        </w:rPr>
        <w:t xml:space="preserve">составляет на общую </w:t>
      </w:r>
      <w:r w:rsidRPr="006262ED">
        <w:rPr>
          <w:rFonts w:ascii="Times New Roman" w:hAnsi="Times New Roman"/>
          <w:sz w:val="24"/>
          <w:szCs w:val="24"/>
        </w:rPr>
        <w:t xml:space="preserve">сумму </w:t>
      </w:r>
      <w:r w:rsidR="006262ED">
        <w:rPr>
          <w:rFonts w:ascii="Times New Roman" w:hAnsi="Times New Roman"/>
          <w:sz w:val="24"/>
          <w:szCs w:val="24"/>
        </w:rPr>
        <w:t>1 927 2</w:t>
      </w:r>
      <w:r w:rsidR="00930B18">
        <w:rPr>
          <w:rFonts w:ascii="Times New Roman" w:hAnsi="Times New Roman"/>
          <w:sz w:val="24"/>
          <w:szCs w:val="24"/>
        </w:rPr>
        <w:t>3</w:t>
      </w:r>
      <w:r w:rsidR="006262ED">
        <w:rPr>
          <w:rFonts w:ascii="Times New Roman" w:hAnsi="Times New Roman"/>
          <w:sz w:val="24"/>
          <w:szCs w:val="24"/>
        </w:rPr>
        <w:t>1,16</w:t>
      </w:r>
      <w:r w:rsidRPr="00626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139" w:rsidRPr="006262ED">
        <w:rPr>
          <w:rFonts w:ascii="Times New Roman" w:hAnsi="Times New Roman"/>
          <w:sz w:val="24"/>
          <w:szCs w:val="24"/>
        </w:rPr>
        <w:t>тыс</w:t>
      </w:r>
      <w:proofErr w:type="gramStart"/>
      <w:r w:rsidR="00F44139" w:rsidRPr="006262ED">
        <w:rPr>
          <w:rFonts w:ascii="Times New Roman" w:hAnsi="Times New Roman"/>
          <w:sz w:val="24"/>
          <w:szCs w:val="24"/>
        </w:rPr>
        <w:t>.</w:t>
      </w:r>
      <w:r w:rsidRPr="006262ED">
        <w:rPr>
          <w:rFonts w:ascii="Times New Roman" w:hAnsi="Times New Roman"/>
          <w:sz w:val="24"/>
          <w:szCs w:val="24"/>
        </w:rPr>
        <w:t>р</w:t>
      </w:r>
      <w:proofErr w:type="gramEnd"/>
      <w:r w:rsidRPr="006262ED">
        <w:rPr>
          <w:rFonts w:ascii="Times New Roman" w:hAnsi="Times New Roman"/>
          <w:sz w:val="24"/>
          <w:szCs w:val="24"/>
        </w:rPr>
        <w:t>уб</w:t>
      </w:r>
      <w:proofErr w:type="spellEnd"/>
      <w:r w:rsidR="00F44139" w:rsidRPr="006262ED">
        <w:rPr>
          <w:rFonts w:ascii="Times New Roman" w:hAnsi="Times New Roman"/>
          <w:sz w:val="24"/>
          <w:szCs w:val="24"/>
        </w:rPr>
        <w:t>.</w:t>
      </w:r>
      <w:r w:rsidRPr="006262ED">
        <w:rPr>
          <w:rFonts w:ascii="Times New Roman" w:hAnsi="Times New Roman"/>
          <w:sz w:val="24"/>
          <w:szCs w:val="24"/>
        </w:rPr>
        <w:t>,</w:t>
      </w:r>
      <w:r w:rsidRPr="009F3873">
        <w:rPr>
          <w:rFonts w:ascii="Times New Roman" w:hAnsi="Times New Roman"/>
          <w:sz w:val="24"/>
          <w:szCs w:val="24"/>
        </w:rPr>
        <w:t xml:space="preserve">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DF6DBE">
        <w:rPr>
          <w:rFonts w:ascii="Times New Roman" w:hAnsi="Times New Roman"/>
          <w:sz w:val="24"/>
          <w:szCs w:val="24"/>
        </w:rPr>
        <w:t xml:space="preserve">      </w:t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="009F03A3">
        <w:rPr>
          <w:rFonts w:ascii="Times New Roman" w:hAnsi="Times New Roman"/>
          <w:sz w:val="24"/>
          <w:szCs w:val="24"/>
        </w:rPr>
        <w:t xml:space="preserve">                       </w:t>
      </w:r>
      <w:r w:rsidRPr="0085688A">
        <w:rPr>
          <w:rFonts w:ascii="Times New Roman" w:hAnsi="Times New Roman"/>
          <w:sz w:val="24"/>
          <w:szCs w:val="24"/>
        </w:rPr>
        <w:t>(</w:t>
      </w:r>
      <w:proofErr w:type="spellStart"/>
      <w:r w:rsidR="00F44139">
        <w:rPr>
          <w:rFonts w:ascii="Times New Roman" w:hAnsi="Times New Roman"/>
          <w:sz w:val="24"/>
          <w:szCs w:val="24"/>
        </w:rPr>
        <w:t>тыс</w:t>
      </w:r>
      <w:proofErr w:type="gramStart"/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р</w:t>
      </w:r>
      <w:proofErr w:type="gramEnd"/>
      <w:r w:rsidRPr="0085688A">
        <w:rPr>
          <w:rFonts w:ascii="Times New Roman" w:hAnsi="Times New Roman"/>
          <w:sz w:val="24"/>
          <w:szCs w:val="24"/>
        </w:rPr>
        <w:t>уб</w:t>
      </w:r>
      <w:proofErr w:type="spellEnd"/>
      <w:r w:rsidRPr="0085688A">
        <w:rPr>
          <w:rFonts w:ascii="Times New Roman" w:hAnsi="Times New Roman"/>
          <w:sz w:val="24"/>
          <w:szCs w:val="24"/>
        </w:rPr>
        <w:t>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1701"/>
        <w:gridCol w:w="1843"/>
        <w:gridCol w:w="1701"/>
        <w:gridCol w:w="1701"/>
      </w:tblGrid>
      <w:tr w:rsidR="005832ED" w:rsidRPr="00AA706E" w:rsidTr="004875EA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Pr="00AA706E" w:rsidRDefault="005832ED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5832ED">
            <w:pPr>
              <w:tabs>
                <w:tab w:val="left" w:pos="1845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855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554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D" w:rsidRDefault="008554BE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386 113,30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232 901,49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32 626,92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9F0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651 641,71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855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554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8554BE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380 445,50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E36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227 000,53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93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32 6</w:t>
            </w:r>
            <w:r w:rsidR="00930B1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930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640 0</w:t>
            </w:r>
            <w:r w:rsidR="00930B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,95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855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554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8554BE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376 178,00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226 711,58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6262ED" w:rsidP="0093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32 6</w:t>
            </w:r>
            <w:r w:rsidR="00930B1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930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635 51</w:t>
            </w:r>
            <w:r w:rsidR="00930B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,50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D" w:rsidRPr="00AA706E" w:rsidRDefault="005832ED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8554BE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1 142 736,80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686 613,60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930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97 8</w:t>
            </w:r>
            <w:r w:rsidR="00930B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8554BE" w:rsidP="00930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1 927 2</w:t>
            </w:r>
            <w:r w:rsidR="00930B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1,16</w:t>
            </w:r>
          </w:p>
        </w:tc>
      </w:tr>
    </w:tbl>
    <w:p w:rsidR="00B929C4" w:rsidRDefault="00B929C4" w:rsidP="00B929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C4" w:rsidRPr="00E36021" w:rsidRDefault="00B929C4" w:rsidP="00B929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021">
        <w:rPr>
          <w:rFonts w:ascii="Times New Roman" w:hAnsi="Times New Roman"/>
          <w:sz w:val="24"/>
          <w:szCs w:val="24"/>
        </w:rPr>
        <w:lastRenderedPageBreak/>
        <w:t>Своевременная и в полном объеме реализация муниципальной программы позволит достичь к 2030 году следующих результатов: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 xml:space="preserve">повысить охват детей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</w:t>
      </w:r>
      <w:proofErr w:type="spellStart"/>
      <w:r w:rsidRPr="00E3602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36021">
        <w:rPr>
          <w:rFonts w:ascii="Times New Roman" w:hAnsi="Times New Roman"/>
          <w:sz w:val="24"/>
          <w:szCs w:val="24"/>
        </w:rPr>
        <w:t xml:space="preserve"> муниципального округа) </w:t>
      </w:r>
      <w:proofErr w:type="gramStart"/>
      <w:r w:rsidRPr="00E36021">
        <w:rPr>
          <w:rFonts w:ascii="Times New Roman" w:hAnsi="Times New Roman"/>
          <w:sz w:val="24"/>
          <w:szCs w:val="24"/>
        </w:rPr>
        <w:t>до</w:t>
      </w:r>
      <w:proofErr w:type="gramEnd"/>
      <w:r w:rsidRPr="00E36021">
        <w:rPr>
          <w:rFonts w:ascii="Times New Roman" w:hAnsi="Times New Roman"/>
          <w:sz w:val="24"/>
          <w:szCs w:val="24"/>
        </w:rPr>
        <w:t xml:space="preserve"> </w:t>
      </w:r>
      <w:r w:rsidR="00DF31F9">
        <w:rPr>
          <w:rFonts w:ascii="Times New Roman" w:hAnsi="Times New Roman"/>
          <w:sz w:val="24"/>
          <w:szCs w:val="24"/>
        </w:rPr>
        <w:t>3</w:t>
      </w:r>
      <w:r w:rsidRPr="00E36021">
        <w:rPr>
          <w:rFonts w:ascii="Times New Roman" w:hAnsi="Times New Roman"/>
          <w:sz w:val="24"/>
          <w:szCs w:val="24"/>
        </w:rPr>
        <w:t>5%;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36021">
        <w:rPr>
          <w:rFonts w:ascii="Times New Roman" w:hAnsi="Times New Roman"/>
          <w:sz w:val="24"/>
          <w:szCs w:val="24"/>
        </w:rPr>
        <w:t>сохранить долю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 на уровне 0%;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36021">
        <w:rPr>
          <w:rFonts w:ascii="Times New Roman" w:hAnsi="Times New Roman"/>
          <w:sz w:val="24"/>
          <w:szCs w:val="24"/>
        </w:rPr>
        <w:t>повысить долю детей в возрасте 5 - 18 лет, получающих услуги по дополнительному образованию</w:t>
      </w:r>
      <w:r w:rsidR="00DF31F9">
        <w:rPr>
          <w:rFonts w:ascii="Times New Roman" w:hAnsi="Times New Roman"/>
          <w:sz w:val="24"/>
          <w:szCs w:val="24"/>
        </w:rPr>
        <w:t>,</w:t>
      </w:r>
      <w:r w:rsidRPr="00E36021">
        <w:rPr>
          <w:rFonts w:ascii="Times New Roman" w:hAnsi="Times New Roman"/>
          <w:sz w:val="24"/>
          <w:szCs w:val="24"/>
        </w:rPr>
        <w:t xml:space="preserve"> </w:t>
      </w:r>
      <w:r w:rsidRPr="00DF31F9">
        <w:rPr>
          <w:rFonts w:ascii="Times New Roman" w:hAnsi="Times New Roman"/>
          <w:sz w:val="24"/>
          <w:szCs w:val="24"/>
        </w:rPr>
        <w:t xml:space="preserve">в </w:t>
      </w:r>
      <w:r w:rsidR="00DF31F9" w:rsidRPr="00DF31F9">
        <w:rPr>
          <w:rFonts w:ascii="Times New Roman" w:hAnsi="Times New Roman"/>
          <w:sz w:val="24"/>
          <w:szCs w:val="24"/>
        </w:rPr>
        <w:t xml:space="preserve">общей численности обучающихся образовательных учреждений </w:t>
      </w:r>
      <w:proofErr w:type="spellStart"/>
      <w:r w:rsidR="00DF31F9" w:rsidRPr="00DF31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31F9" w:rsidRPr="00DF31F9">
        <w:rPr>
          <w:rFonts w:ascii="Times New Roman" w:hAnsi="Times New Roman"/>
          <w:sz w:val="24"/>
          <w:szCs w:val="24"/>
        </w:rPr>
        <w:t xml:space="preserve"> муниципального округа на уровн</w:t>
      </w:r>
      <w:r w:rsidR="00DF31F9">
        <w:rPr>
          <w:rFonts w:ascii="Times New Roman" w:hAnsi="Times New Roman"/>
          <w:sz w:val="24"/>
          <w:szCs w:val="24"/>
        </w:rPr>
        <w:t xml:space="preserve">е </w:t>
      </w:r>
      <w:r w:rsidR="00DF31F9" w:rsidRPr="00DF31F9">
        <w:rPr>
          <w:rFonts w:ascii="Times New Roman" w:hAnsi="Times New Roman"/>
          <w:sz w:val="24"/>
          <w:szCs w:val="24"/>
        </w:rPr>
        <w:t>75</w:t>
      </w:r>
      <w:r w:rsidRPr="00DF31F9">
        <w:rPr>
          <w:rFonts w:ascii="Times New Roman" w:hAnsi="Times New Roman"/>
          <w:sz w:val="24"/>
          <w:szCs w:val="24"/>
        </w:rPr>
        <w:t>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повысить долю детей, включенных в различные виды занятости (походы, трудовые отряды старшеклассников, интенсивные школы, экскурсии) от общего количества детей в возрасте от 7 до 17 лет, обучающихся в образовательных организациях, до 69%;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обеспечить исполнение субвенции на реализацию переданных полномочий края на уровне не менее 95%;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сохранить долю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на уровне 100%.</w:t>
      </w:r>
    </w:p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63C19">
        <w:rPr>
          <w:rFonts w:ascii="Times New Roman" w:hAnsi="Times New Roman"/>
          <w:sz w:val="24"/>
          <w:szCs w:val="24"/>
        </w:rPr>
        <w:t>1</w:t>
      </w:r>
      <w:r w:rsidR="00AE5739">
        <w:rPr>
          <w:rFonts w:ascii="Times New Roman" w:hAnsi="Times New Roman"/>
          <w:sz w:val="24"/>
          <w:szCs w:val="24"/>
        </w:rPr>
        <w:t> 707 7</w:t>
      </w:r>
      <w:r w:rsidR="00930B18">
        <w:rPr>
          <w:rFonts w:ascii="Times New Roman" w:hAnsi="Times New Roman"/>
          <w:sz w:val="24"/>
          <w:szCs w:val="24"/>
        </w:rPr>
        <w:t>7</w:t>
      </w:r>
      <w:r w:rsidR="00AE5739">
        <w:rPr>
          <w:rFonts w:ascii="Times New Roman" w:hAnsi="Times New Roman"/>
          <w:sz w:val="24"/>
          <w:szCs w:val="24"/>
        </w:rPr>
        <w:t>5,85</w:t>
      </w:r>
      <w:r w:rsidR="00A63C19">
        <w:rPr>
          <w:rFonts w:ascii="Times New Roman" w:hAnsi="Times New Roman"/>
          <w:sz w:val="24"/>
          <w:szCs w:val="24"/>
        </w:rPr>
        <w:t xml:space="preserve"> </w:t>
      </w:r>
      <w:r w:rsidR="00166C31">
        <w:rPr>
          <w:rFonts w:ascii="Times New Roman" w:hAnsi="Times New Roman"/>
          <w:sz w:val="24"/>
          <w:szCs w:val="24"/>
        </w:rPr>
        <w:t xml:space="preserve">тыс. </w:t>
      </w:r>
      <w:r w:rsidR="001D3721" w:rsidRPr="00AA706E">
        <w:rPr>
          <w:rFonts w:ascii="Times New Roman" w:hAnsi="Times New Roman"/>
          <w:sz w:val="24"/>
          <w:szCs w:val="24"/>
        </w:rPr>
        <w:t>руб., в том числе:</w:t>
      </w:r>
    </w:p>
    <w:p w:rsidR="001D3721" w:rsidRPr="00AA706E" w:rsidRDefault="001D3721" w:rsidP="00166C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="00166C31">
        <w:rPr>
          <w:rFonts w:ascii="Times New Roman" w:hAnsi="Times New Roman"/>
          <w:sz w:val="24"/>
          <w:szCs w:val="24"/>
        </w:rPr>
        <w:t xml:space="preserve">                      </w:t>
      </w:r>
      <w:r w:rsidRPr="00AA706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E53F02">
        <w:rPr>
          <w:rFonts w:ascii="Times New Roman" w:hAnsi="Times New Roman"/>
          <w:sz w:val="24"/>
          <w:szCs w:val="24"/>
        </w:rPr>
        <w:t>тыс</w:t>
      </w:r>
      <w:proofErr w:type="gramStart"/>
      <w:r w:rsidR="00E53F02">
        <w:rPr>
          <w:rFonts w:ascii="Times New Roman" w:hAnsi="Times New Roman"/>
          <w:sz w:val="24"/>
          <w:szCs w:val="24"/>
        </w:rPr>
        <w:t>.</w:t>
      </w:r>
      <w:r w:rsidRPr="00AA706E">
        <w:rPr>
          <w:rFonts w:ascii="Times New Roman" w:hAnsi="Times New Roman"/>
          <w:sz w:val="24"/>
          <w:szCs w:val="24"/>
        </w:rPr>
        <w:t>р</w:t>
      </w:r>
      <w:proofErr w:type="gramEnd"/>
      <w:r w:rsidRPr="00AA706E">
        <w:rPr>
          <w:rFonts w:ascii="Times New Roman" w:hAnsi="Times New Roman"/>
          <w:sz w:val="24"/>
          <w:szCs w:val="24"/>
        </w:rPr>
        <w:t>уб</w:t>
      </w:r>
      <w:proofErr w:type="spellEnd"/>
      <w:r w:rsidRPr="00AA706E">
        <w:rPr>
          <w:rFonts w:ascii="Times New Roman" w:hAnsi="Times New Roman"/>
          <w:sz w:val="24"/>
          <w:szCs w:val="24"/>
        </w:rPr>
        <w:t>.)</w:t>
      </w:r>
    </w:p>
    <w:tbl>
      <w:tblPr>
        <w:tblW w:w="10042" w:type="dxa"/>
        <w:tblInd w:w="95" w:type="dxa"/>
        <w:tblLook w:val="04A0" w:firstRow="1" w:lastRow="0" w:firstColumn="1" w:lastColumn="0" w:noHBand="0" w:noVBand="1"/>
      </w:tblPr>
      <w:tblGrid>
        <w:gridCol w:w="1047"/>
        <w:gridCol w:w="1505"/>
        <w:gridCol w:w="1776"/>
        <w:gridCol w:w="1835"/>
        <w:gridCol w:w="1876"/>
        <w:gridCol w:w="2003"/>
      </w:tblGrid>
      <w:tr w:rsidR="004875EA" w:rsidRPr="00AA706E" w:rsidTr="004875EA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9F3873" w:rsidRPr="00AA706E" w:rsidTr="004875EA">
        <w:trPr>
          <w:trHeight w:val="191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AE57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5739">
              <w:rPr>
                <w:rFonts w:ascii="Times New Roman" w:hAnsi="Times New Roman"/>
                <w:sz w:val="20"/>
                <w:szCs w:val="20"/>
              </w:rPr>
              <w:t>4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AE5739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366 423,20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AA3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200 096,19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11 680,22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AE573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578 199,60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AE57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E5739">
              <w:rPr>
                <w:rFonts w:ascii="Times New Roman" w:hAnsi="Times New Roman"/>
                <w:sz w:val="20"/>
                <w:szCs w:val="20"/>
              </w:rPr>
              <w:t>5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AE5739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360 769,90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194 526,63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</w:t>
            </w:r>
            <w:r w:rsidR="00930B1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566 9</w:t>
            </w:r>
            <w:r w:rsidR="00930B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6,74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AE57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E5739">
              <w:rPr>
                <w:rFonts w:ascii="Times New Roman" w:hAnsi="Times New Roman"/>
                <w:sz w:val="20"/>
                <w:szCs w:val="20"/>
              </w:rPr>
              <w:t>6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AE5739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F38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356 681,60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194 237,68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</w:t>
            </w:r>
            <w:r w:rsidR="00930B1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562 5</w:t>
            </w:r>
            <w:r w:rsidR="00930B18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,50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AE5739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1 083 874,70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4875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588 860,50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39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35 0</w:t>
            </w:r>
            <w:r w:rsidR="00930B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0,65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E5739" w:rsidP="00930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1 707 7</w:t>
            </w:r>
            <w:r w:rsidR="00930B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5,85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Обеспечение доступности дошкольного образования, </w:t>
      </w:r>
      <w:r w:rsidR="00945550">
        <w:rPr>
          <w:rFonts w:ascii="Times New Roman" w:hAnsi="Times New Roman"/>
          <w:sz w:val="24"/>
          <w:szCs w:val="24"/>
        </w:rPr>
        <w:t xml:space="preserve">в </w:t>
      </w:r>
      <w:r w:rsidRPr="00AA706E">
        <w:rPr>
          <w:rFonts w:ascii="Times New Roman" w:hAnsi="Times New Roman"/>
          <w:sz w:val="24"/>
          <w:szCs w:val="24"/>
        </w:rPr>
        <w:t>соответств</w:t>
      </w:r>
      <w:r w:rsidR="00945550">
        <w:rPr>
          <w:rFonts w:ascii="Times New Roman" w:hAnsi="Times New Roman"/>
          <w:sz w:val="24"/>
          <w:szCs w:val="24"/>
        </w:rPr>
        <w:t>ии с требованиями федерального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945550">
        <w:rPr>
          <w:rFonts w:ascii="Times New Roman" w:hAnsi="Times New Roman"/>
          <w:sz w:val="24"/>
          <w:szCs w:val="24"/>
        </w:rPr>
        <w:t xml:space="preserve">государственного образовательного </w:t>
      </w:r>
      <w:r w:rsidRPr="00AA706E">
        <w:rPr>
          <w:rFonts w:ascii="Times New Roman" w:hAnsi="Times New Roman"/>
          <w:sz w:val="24"/>
          <w:szCs w:val="24"/>
        </w:rPr>
        <w:t>стандарт</w:t>
      </w:r>
      <w:r w:rsidR="00945550">
        <w:rPr>
          <w:rFonts w:ascii="Times New Roman" w:hAnsi="Times New Roman"/>
          <w:sz w:val="24"/>
          <w:szCs w:val="24"/>
        </w:rPr>
        <w:t>а</w:t>
      </w:r>
      <w:r w:rsidRPr="00AA706E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BF0B61" w:rsidRDefault="00BF0B61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B61">
        <w:rPr>
          <w:rFonts w:ascii="Times New Roman" w:hAnsi="Times New Roman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1"/>
            </w:tblGrid>
            <w:tr w:rsidR="00875E91" w:rsidRPr="007F672B" w:rsidTr="00FA66CB">
              <w:trPr>
                <w:trHeight w:val="539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75E91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70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реализации данной подпрограммы будут достигнуты следующие показатели:</w:t>
                  </w:r>
                </w:p>
                <w:tbl>
                  <w:tblPr>
                    <w:tblW w:w="4993" w:type="pct"/>
                    <w:tblLook w:val="04A0" w:firstRow="1" w:lastRow="0" w:firstColumn="1" w:lastColumn="0" w:noHBand="0" w:noVBand="1"/>
                  </w:tblPr>
                  <w:tblGrid>
                    <w:gridCol w:w="6803"/>
                    <w:gridCol w:w="579"/>
                    <w:gridCol w:w="766"/>
                    <w:gridCol w:w="767"/>
                    <w:gridCol w:w="766"/>
                  </w:tblGrid>
                  <w:tr w:rsidR="00875E91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Ед. изм.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BF0B6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BF0B6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BF0B6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BF0B6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BF0B6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BF0B6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Удельный вес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обучающихся по программам, </w:t>
                        </w: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Обеспеченность детей дошкольного возраста местами в дошкольных образовательных учреждениях (количество мест на 100 детей)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BF0B6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BF0B6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BF0B6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  <w:r w:rsidR="003A41E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текущем году дошкольного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BF0B61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BF0B61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BF0B61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  <w:tr w:rsidR="009D0A18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E71A4E" w:rsidRDefault="009D0A18" w:rsidP="00E71A4E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71A4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25,00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9E231C" w:rsidRDefault="003A41EF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базовых образовательных учреждений (обеспечивающих совместное обучение инвалидов и лиц, не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имеющих нарушений) в общем количестве образовательных учреждений,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</w:tr>
                  <w:tr w:rsidR="009D0A18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9D0A18" w:rsidRDefault="009D0A18" w:rsidP="009D0A1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D0A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9D0A18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9D0A18" w:rsidRDefault="009D0A18" w:rsidP="009D0A1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D0A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учреждений,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D0A18" w:rsidRPr="0026117B" w:rsidRDefault="009D0A18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D57DE9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образовательных учреждений, реализующих исключительно адаптированные образовательные программы, в которых обновлена материально-техническая база в общем числе учреждений, реализующих исключительно адаптированные образовательные программы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D57DE9" w:rsidRPr="0026117B" w:rsidTr="009D0A18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муниципальных образовательных учреждений, реализующих программы общего образования, имеющих физкультурный зал, в общем количестве муниципальных образовательных учреждений,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</w:tr>
                  <w:tr w:rsidR="00D57DE9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требующих капитального ремонта или реконструкции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D57DE9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имеющих все виды благоустройства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</w:tr>
                  <w:tr w:rsidR="00D57DE9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общеобразовательных учреждений, в которых создана универсальная </w:t>
                        </w:r>
                        <w:proofErr w:type="spellStart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безбарьерная</w:t>
                        </w:r>
                        <w:proofErr w:type="spellEnd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среда для инклюзивного образования детей-инвалидов, в общем количестве общеобразовательных учреждений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50,00</w:t>
                        </w:r>
                      </w:p>
                    </w:tc>
                  </w:tr>
                  <w:tr w:rsidR="00D57DE9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детей-инвалидов, обучающихся в общеобразовательных учреждениях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  <w:tr w:rsidR="00D57DE9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Численность обучающихся общеобразовательных учреждений, расположенных в сельской местности и малых городах,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курсы внеурочной деятельности </w:t>
                        </w:r>
                        <w:proofErr w:type="spellStart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общеинтеллектуальной</w:t>
                        </w:r>
                        <w:proofErr w:type="spellEnd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направленности с использованием средств обучения и воспитания центров "Точка роста"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37,50</w:t>
                        </w:r>
                      </w:p>
                    </w:tc>
                  </w:tr>
                  <w:tr w:rsidR="00D57DE9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23,88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23,88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23,88</w:t>
                        </w:r>
                      </w:p>
                    </w:tc>
                  </w:tr>
                  <w:tr w:rsidR="00D57DE9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D57DE9" w:rsidRDefault="00D57DE9" w:rsidP="00D57DE9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            </w:r>
                        <w:proofErr w:type="gramStart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численности</w:t>
                        </w:r>
                        <w:proofErr w:type="gramEnd"/>
                        <w:r w:rsidRPr="00D57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обучающихся по программам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7DE9" w:rsidRPr="0026117B" w:rsidRDefault="00D57DE9" w:rsidP="00AE57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90,00</w:t>
                        </w:r>
                      </w:p>
                    </w:tc>
                  </w:tr>
                </w:tbl>
                <w:p w:rsidR="00875E91" w:rsidRPr="00AA706E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>подпрограмму 2 «Организация отдыха и оздоровления детей»</w:t>
      </w:r>
      <w:r w:rsidRPr="00112158">
        <w:rPr>
          <w:rFonts w:ascii="Times New Roman" w:hAnsi="Times New Roman"/>
          <w:sz w:val="24"/>
          <w:szCs w:val="24"/>
        </w:rPr>
        <w:t xml:space="preserve"> планируе</w:t>
      </w:r>
      <w:r w:rsidR="009877D5">
        <w:rPr>
          <w:rFonts w:ascii="Times New Roman" w:hAnsi="Times New Roman"/>
          <w:sz w:val="24"/>
          <w:szCs w:val="24"/>
        </w:rPr>
        <w:t>мое</w:t>
      </w:r>
      <w:r w:rsidRPr="00112158">
        <w:rPr>
          <w:rFonts w:ascii="Times New Roman" w:hAnsi="Times New Roman"/>
          <w:sz w:val="24"/>
          <w:szCs w:val="24"/>
        </w:rPr>
        <w:t xml:space="preserve"> финансирование подпрограммных мероприятий в сумме </w:t>
      </w:r>
      <w:r w:rsidR="00A63C19">
        <w:rPr>
          <w:rFonts w:ascii="Times New Roman" w:hAnsi="Times New Roman"/>
          <w:sz w:val="24"/>
          <w:szCs w:val="24"/>
        </w:rPr>
        <w:t>1</w:t>
      </w:r>
      <w:r w:rsidR="00526D58">
        <w:rPr>
          <w:rFonts w:ascii="Times New Roman" w:hAnsi="Times New Roman"/>
          <w:sz w:val="24"/>
          <w:szCs w:val="24"/>
        </w:rPr>
        <w:t>35 048,32</w:t>
      </w:r>
      <w:r w:rsidR="00A63C19">
        <w:rPr>
          <w:rFonts w:ascii="Times New Roman" w:hAnsi="Times New Roman"/>
          <w:sz w:val="24"/>
          <w:szCs w:val="24"/>
        </w:rPr>
        <w:t xml:space="preserve"> 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0A0EFC">
        <w:rPr>
          <w:rFonts w:ascii="Times New Roman" w:hAnsi="Times New Roman"/>
          <w:sz w:val="24"/>
          <w:szCs w:val="24"/>
        </w:rPr>
        <w:t xml:space="preserve">                </w:t>
      </w:r>
      <w:r w:rsidRPr="00112158">
        <w:rPr>
          <w:rFonts w:ascii="Times New Roman" w:hAnsi="Times New Roman"/>
          <w:sz w:val="24"/>
          <w:szCs w:val="24"/>
        </w:rPr>
        <w:tab/>
      </w:r>
      <w:r w:rsidR="0024074F">
        <w:rPr>
          <w:rFonts w:ascii="Times New Roman" w:hAnsi="Times New Roman"/>
          <w:sz w:val="24"/>
          <w:szCs w:val="24"/>
        </w:rPr>
        <w:t xml:space="preserve">               </w:t>
      </w:r>
      <w:r w:rsidRPr="00112158">
        <w:rPr>
          <w:rFonts w:ascii="Times New Roman" w:hAnsi="Times New Roman"/>
          <w:sz w:val="24"/>
          <w:szCs w:val="24"/>
        </w:rPr>
        <w:tab/>
        <w:t>(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091"/>
        <w:gridCol w:w="2693"/>
        <w:gridCol w:w="2126"/>
      </w:tblGrid>
      <w:tr w:rsidR="009877D5" w:rsidRPr="00112158" w:rsidTr="00FA66CB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7D5" w:rsidRPr="00112158" w:rsidRDefault="009877D5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526D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26D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526D58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13 783,20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526D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10 286,20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526D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20 946,7</w:t>
            </w:r>
            <w:r w:rsidR="004F13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0A0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45 016,11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526D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26D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526D58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13 783,20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526D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10 286,20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20 946,71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45 016,11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526D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26D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526D58" w:rsidP="00526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13 783,20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526D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10 286,20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20 946,70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45 016,10</w:t>
            </w:r>
          </w:p>
        </w:tc>
      </w:tr>
      <w:tr w:rsidR="009877D5" w:rsidRPr="00112158" w:rsidTr="009877D5">
        <w:trPr>
          <w:trHeight w:val="7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D5" w:rsidRPr="00112158" w:rsidRDefault="009877D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526D58" w:rsidP="0026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41 349,60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526D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30 858,60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62 840,12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4F137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135 048,32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>оздоровления детей.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</w:t>
      </w:r>
      <w:proofErr w:type="spellStart"/>
      <w:r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12158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12158">
        <w:rPr>
          <w:rFonts w:ascii="Times New Roman" w:hAnsi="Times New Roman"/>
          <w:sz w:val="24"/>
          <w:szCs w:val="24"/>
        </w:rPr>
        <w:t xml:space="preserve">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755130" w:rsidRDefault="0075513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959"/>
        <w:gridCol w:w="1116"/>
        <w:gridCol w:w="1118"/>
        <w:gridCol w:w="1118"/>
      </w:tblGrid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F137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4F13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F137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4F13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F137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4F13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7B" w:rsidRPr="0026117B" w:rsidRDefault="0026117B" w:rsidP="00881FD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</w:t>
            </w:r>
            <w:r w:rsidR="00881FD3">
              <w:rPr>
                <w:rFonts w:ascii="Times New Roman" w:hAnsi="Times New Roman"/>
                <w:sz w:val="20"/>
                <w:szCs w:val="20"/>
                <w:lang w:eastAsia="en-US"/>
              </w:rPr>
              <w:t>, получивших услугу по организации отдыха детей и их оздоровления, от общего количества детей от 7 до 17 лет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4F1375" w:rsidP="004F13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  <w:r w:rsidR="0026117B"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4F1375" w:rsidP="004F13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  <w:r w:rsidR="0026117B"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4F1375" w:rsidP="004F13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  <w:r w:rsidR="0026117B"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A321A" w:rsidRPr="001A321A" w:rsidRDefault="001A321A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21A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обеспечение безопасного и  качественного отдыха и оздоровления детей </w:t>
      </w:r>
      <w:proofErr w:type="spellStart"/>
      <w:r w:rsidRPr="001A32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A321A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A321A">
        <w:rPr>
          <w:rFonts w:ascii="Times New Roman" w:hAnsi="Times New Roman"/>
          <w:sz w:val="24"/>
          <w:szCs w:val="24"/>
        </w:rPr>
        <w:t>.</w:t>
      </w:r>
    </w:p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 w:rsidRPr="0026117B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Pr="0026117B">
        <w:rPr>
          <w:rFonts w:ascii="Times New Roman" w:hAnsi="Times New Roman"/>
          <w:i/>
          <w:sz w:val="24"/>
          <w:szCs w:val="24"/>
          <w:u w:val="single"/>
        </w:rPr>
        <w:t xml:space="preserve">  "Государственная поддержка детей-сирот и детей, оставшихся без попечения родителей"</w:t>
      </w:r>
      <w:r w:rsidRPr="0026117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755130">
        <w:rPr>
          <w:rFonts w:ascii="Times New Roman" w:hAnsi="Times New Roman"/>
          <w:sz w:val="24"/>
          <w:szCs w:val="24"/>
        </w:rPr>
        <w:t>17</w:t>
      </w:r>
      <w:r w:rsidR="007E6A4C">
        <w:rPr>
          <w:rFonts w:ascii="Times New Roman" w:hAnsi="Times New Roman"/>
          <w:sz w:val="24"/>
          <w:szCs w:val="24"/>
        </w:rPr>
        <w:t> 512,5</w:t>
      </w:r>
      <w:r w:rsidR="00755130">
        <w:rPr>
          <w:rFonts w:ascii="Times New Roman" w:hAnsi="Times New Roman"/>
          <w:sz w:val="24"/>
          <w:szCs w:val="24"/>
        </w:rPr>
        <w:t>0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</w:tblGrid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E6A4C" w:rsidRPr="00112158" w:rsidTr="0026117B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7E6A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5 906,90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5 906,90</w:t>
            </w:r>
          </w:p>
        </w:tc>
      </w:tr>
      <w:tr w:rsidR="007E6A4C" w:rsidRPr="00112158" w:rsidTr="006C7F5A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7E6A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7E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5 892,40</w:t>
            </w:r>
          </w:p>
        </w:tc>
      </w:tr>
      <w:tr w:rsidR="007E6A4C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7E6A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75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5 713,20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5 713,20</w:t>
            </w:r>
          </w:p>
        </w:tc>
      </w:tr>
      <w:tr w:rsidR="007E6A4C" w:rsidRPr="00112158" w:rsidTr="006C7F5A">
        <w:trPr>
          <w:trHeight w:val="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C" w:rsidRPr="00112158" w:rsidRDefault="007E6A4C" w:rsidP="00487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FA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17 512,50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4C" w:rsidRPr="00112158" w:rsidRDefault="007E6A4C" w:rsidP="00674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17 512,50</w:t>
            </w:r>
          </w:p>
        </w:tc>
      </w:tr>
    </w:tbl>
    <w:p w:rsidR="00FA66CB" w:rsidRDefault="00FA66C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подпрограммы – </w:t>
      </w:r>
      <w:r w:rsidR="00FA66CB">
        <w:rPr>
          <w:rFonts w:ascii="Times New Roman" w:hAnsi="Times New Roman"/>
          <w:sz w:val="24"/>
          <w:szCs w:val="24"/>
        </w:rPr>
        <w:t>развитие семейных форм воспитания</w:t>
      </w:r>
      <w:r>
        <w:rPr>
          <w:rFonts w:ascii="Times New Roman" w:hAnsi="Times New Roman"/>
          <w:sz w:val="24"/>
          <w:szCs w:val="24"/>
        </w:rPr>
        <w:t xml:space="preserve"> дет</w:t>
      </w:r>
      <w:r w:rsidR="00FA66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– сирот,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оказание государственной поддержки детям-сиротам и детям,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а также </w:t>
      </w:r>
      <w:r>
        <w:rPr>
          <w:rFonts w:ascii="Times New Roman" w:hAnsi="Times New Roman"/>
          <w:sz w:val="24"/>
          <w:szCs w:val="24"/>
        </w:rPr>
        <w:t>лицам из их числа.</w:t>
      </w:r>
    </w:p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подпрограммы – обеспечить реализацию мер, направленных на развитие </w:t>
      </w:r>
      <w:r w:rsidR="00FA66CB">
        <w:rPr>
          <w:rFonts w:ascii="Times New Roman" w:hAnsi="Times New Roman"/>
          <w:sz w:val="24"/>
          <w:szCs w:val="24"/>
        </w:rPr>
        <w:t xml:space="preserve">в округе </w:t>
      </w:r>
      <w:r>
        <w:rPr>
          <w:rFonts w:ascii="Times New Roman" w:hAnsi="Times New Roman"/>
          <w:sz w:val="24"/>
          <w:szCs w:val="24"/>
        </w:rPr>
        <w:t>семейных форм воспитания детей – сирот и детей, оставшихся без попечения родителей</w:t>
      </w:r>
      <w:r w:rsidR="00755130">
        <w:rPr>
          <w:rFonts w:ascii="Times New Roman" w:hAnsi="Times New Roman"/>
          <w:sz w:val="24"/>
          <w:szCs w:val="24"/>
        </w:rPr>
        <w:t xml:space="preserve"> и вопросов их государственной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755130" w:rsidRPr="0026117B" w:rsidRDefault="00755130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26117B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117B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Pr="005400F7" w:rsidRDefault="0026117B" w:rsidP="0026117B">
      <w:pPr>
        <w:pStyle w:val="a3"/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6120"/>
        <w:gridCol w:w="927"/>
        <w:gridCol w:w="977"/>
        <w:gridCol w:w="980"/>
        <w:gridCol w:w="1115"/>
      </w:tblGrid>
      <w:tr w:rsidR="0026117B" w:rsidRPr="005400F7" w:rsidTr="002720DF">
        <w:trPr>
          <w:trHeight w:val="58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7E6A4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7E6A4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7E6A4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7E6A4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7E6A4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7E6A4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720DF" w:rsidRPr="005400F7" w:rsidTr="002720DF">
        <w:trPr>
          <w:trHeight w:val="444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AE573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</w:t>
            </w:r>
            <w:r>
              <w:rPr>
                <w:rFonts w:ascii="Times New Roman" w:hAnsi="Times New Roman"/>
                <w:sz w:val="20"/>
                <w:szCs w:val="20"/>
              </w:rPr>
              <w:t>-сирот и детей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>, оставшихся без попечения родителей,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переданных на воспитание в семьи, в общей численности детей-сирот и детей,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720DF" w:rsidRPr="005400F7" w:rsidTr="002720DF">
        <w:trPr>
          <w:trHeight w:val="444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2720D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</w:t>
            </w:r>
            <w:r>
              <w:rPr>
                <w:rFonts w:ascii="Times New Roman" w:hAnsi="Times New Roman"/>
                <w:sz w:val="20"/>
                <w:szCs w:val="20"/>
              </w:rPr>
              <w:t>-сирот и детей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>, оставшихся без попечения родителей,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обеспеченных жилыми помещениями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DC5E6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DC5E6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DC5E60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</w:t>
            </w:r>
            <w:bookmarkStart w:id="0" w:name="_GoBack"/>
            <w:bookmarkEnd w:id="0"/>
            <w:r w:rsidR="00272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</w:t>
            </w:r>
            <w:r w:rsidR="002720DF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0022">
        <w:rPr>
          <w:rFonts w:ascii="Times New Roman" w:hAnsi="Times New Roman"/>
          <w:i/>
          <w:sz w:val="24"/>
          <w:szCs w:val="24"/>
          <w:u w:val="single"/>
        </w:rPr>
        <w:t>4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2720DF">
        <w:rPr>
          <w:rFonts w:ascii="Times New Roman" w:hAnsi="Times New Roman"/>
          <w:sz w:val="24"/>
          <w:szCs w:val="24"/>
        </w:rPr>
        <w:t>66 </w:t>
      </w:r>
      <w:r w:rsidR="004A54B6">
        <w:rPr>
          <w:rFonts w:ascii="Times New Roman" w:hAnsi="Times New Roman"/>
          <w:sz w:val="24"/>
          <w:szCs w:val="24"/>
        </w:rPr>
        <w:t>89</w:t>
      </w:r>
      <w:r w:rsidR="002720DF">
        <w:rPr>
          <w:rFonts w:ascii="Times New Roman" w:hAnsi="Times New Roman"/>
          <w:sz w:val="24"/>
          <w:szCs w:val="24"/>
        </w:rPr>
        <w:t>4,</w:t>
      </w:r>
      <w:r w:rsidR="004A54B6">
        <w:rPr>
          <w:rFonts w:ascii="Times New Roman" w:hAnsi="Times New Roman"/>
          <w:sz w:val="24"/>
          <w:szCs w:val="24"/>
        </w:rPr>
        <w:t>5</w:t>
      </w:r>
      <w:r w:rsidR="002720DF">
        <w:rPr>
          <w:rFonts w:ascii="Times New Roman" w:hAnsi="Times New Roman"/>
          <w:sz w:val="24"/>
          <w:szCs w:val="24"/>
        </w:rPr>
        <w:t>0</w:t>
      </w:r>
      <w:r w:rsidR="007A1E19" w:rsidRPr="00112158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>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FD546C">
        <w:rPr>
          <w:rFonts w:ascii="Times New Roman" w:hAnsi="Times New Roman"/>
          <w:sz w:val="24"/>
          <w:szCs w:val="24"/>
        </w:rPr>
        <w:t>(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776" w:type="dxa"/>
        <w:tblInd w:w="93" w:type="dxa"/>
        <w:tblLook w:val="04A0" w:firstRow="1" w:lastRow="0" w:firstColumn="1" w:lastColumn="0" w:noHBand="0" w:noVBand="1"/>
      </w:tblPr>
      <w:tblGrid>
        <w:gridCol w:w="1240"/>
        <w:gridCol w:w="2562"/>
        <w:gridCol w:w="1974"/>
      </w:tblGrid>
      <w:tr w:rsidR="00C932B4" w:rsidRPr="00112158" w:rsidTr="00C932B4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12158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A54B6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22 519,10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22 519,10</w:t>
            </w:r>
          </w:p>
        </w:tc>
      </w:tr>
      <w:tr w:rsidR="004A54B6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22 187,70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22 187,70</w:t>
            </w:r>
          </w:p>
        </w:tc>
      </w:tr>
      <w:tr w:rsidR="004A54B6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22 187,70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67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22 187,70</w:t>
            </w:r>
          </w:p>
        </w:tc>
      </w:tr>
      <w:tr w:rsidR="004A54B6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6" w:rsidRPr="00112158" w:rsidRDefault="004A54B6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4A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66 894,50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B6" w:rsidRPr="00112158" w:rsidRDefault="004A54B6" w:rsidP="00674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66 894,50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22673C">
        <w:rPr>
          <w:rFonts w:ascii="Times New Roman" w:hAnsi="Times New Roman"/>
          <w:i/>
          <w:sz w:val="24"/>
          <w:szCs w:val="24"/>
        </w:rPr>
        <w:t>4</w:t>
      </w:r>
      <w:r w:rsidRPr="00112158">
        <w:rPr>
          <w:rFonts w:ascii="Times New Roman" w:hAnsi="Times New Roman"/>
          <w:sz w:val="24"/>
          <w:szCs w:val="24"/>
        </w:rPr>
        <w:t xml:space="preserve"> - создание условий для </w:t>
      </w:r>
      <w:r w:rsidR="004A54B6">
        <w:rPr>
          <w:rFonts w:ascii="Times New Roman" w:hAnsi="Times New Roman"/>
          <w:sz w:val="24"/>
          <w:szCs w:val="24"/>
        </w:rPr>
        <w:t xml:space="preserve">эффективного управления </w:t>
      </w:r>
      <w:r w:rsidR="004A54B6" w:rsidRPr="00112158">
        <w:rPr>
          <w:rFonts w:ascii="Times New Roman" w:hAnsi="Times New Roman"/>
          <w:sz w:val="24"/>
          <w:szCs w:val="24"/>
        </w:rPr>
        <w:t>отрасл</w:t>
      </w:r>
      <w:r w:rsidR="004A54B6">
        <w:rPr>
          <w:rFonts w:ascii="Times New Roman" w:hAnsi="Times New Roman"/>
          <w:sz w:val="24"/>
          <w:szCs w:val="24"/>
        </w:rPr>
        <w:t>ью</w:t>
      </w:r>
      <w:r w:rsidRPr="0011215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BA5240" w:rsidRPr="00BA5240" w:rsidRDefault="00BA5240" w:rsidP="00BA524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</w:t>
      </w:r>
      <w:r w:rsidRPr="00BA5240">
        <w:rPr>
          <w:rFonts w:ascii="Times New Roman" w:eastAsia="Calibri" w:hAnsi="Times New Roman"/>
          <w:sz w:val="24"/>
          <w:szCs w:val="24"/>
          <w:lang w:eastAsia="ar-SA"/>
        </w:rPr>
        <w:t xml:space="preserve">Достижение поставленной цели будет осуществляться путем решения задачи по </w:t>
      </w:r>
      <w:r w:rsidRPr="00BA5240">
        <w:rPr>
          <w:rFonts w:ascii="Times New Roman" w:eastAsia="Calibri" w:hAnsi="Times New Roman"/>
          <w:sz w:val="24"/>
          <w:szCs w:val="24"/>
        </w:rPr>
        <w:t>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D546C" w:rsidRDefault="00C330C2" w:rsidP="00C33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46C">
        <w:rPr>
          <w:rFonts w:ascii="Times New Roman" w:hAnsi="Times New Roman"/>
          <w:sz w:val="24"/>
          <w:szCs w:val="24"/>
        </w:rPr>
        <w:t>В рамках данной подпрограммы осуществляется реализация полномочий органа местного самоуправления по основным направлениям: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в сфере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положений по нормативно-правовому обеспечению развития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получения гражданами дополнительного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информирования граждан о состоянии образования (за исключением высшего профессионального образования) на территории </w:t>
      </w:r>
      <w:proofErr w:type="spellStart"/>
      <w:r w:rsidR="00BA52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5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EC0022" w:rsidRPr="00EC0022" w:rsidTr="00C330C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A54B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4A54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A54B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4A54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A54B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4A54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Суммарная оценка </w:t>
            </w:r>
            <w:proofErr w:type="gramStart"/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качества </w:t>
            </w: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утверждения и размещения муниципального задания на текущий финансовый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плановый период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875E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AE573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C330C2">
        <w:rPr>
          <w:rFonts w:ascii="Times New Roman" w:eastAsia="Calibri" w:hAnsi="Times New Roman"/>
          <w:sz w:val="24"/>
          <w:szCs w:val="24"/>
        </w:rPr>
        <w:t>Обязательным условием эффективности подпрограммы является успешное выполнение индикаторов и показателей подпрограммы, а также мероприятий в установленные сроки.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C330C2">
        <w:rPr>
          <w:rFonts w:ascii="Times New Roman" w:eastAsia="Calibri" w:hAnsi="Times New Roman"/>
          <w:sz w:val="24"/>
          <w:szCs w:val="24"/>
        </w:rPr>
        <w:t>Ожидаемые результаты: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повышение качества и доступности муниципальных услуг, оказываемых образовательными учреждениями;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повышение эффективности управления в сфере образования, расходования бюджетных расходов, внедрение современных подходов бюджетного планирования;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создание эффективной системы управления программой, реализация в полном объеме мероприятий программы, достижение ее целей и задач.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0C2" w:rsidRPr="008A7862" w:rsidRDefault="00C330C2" w:rsidP="00C330C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lastRenderedPageBreak/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E0E" w:rsidRPr="00AC6E0E" w:rsidRDefault="00AC6E0E" w:rsidP="00C33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330C2">
        <w:rPr>
          <w:rFonts w:ascii="Times New Roman" w:hAnsi="Times New Roman"/>
          <w:sz w:val="24"/>
          <w:szCs w:val="24"/>
        </w:rPr>
        <w:t xml:space="preserve"> п</w:t>
      </w:r>
      <w:r w:rsidRPr="00AC6E0E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15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156</w:t>
      </w:r>
      <w:r w:rsidRPr="00AC6E0E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образование».</w:t>
      </w: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1A55CD" w:rsidRDefault="001A55CD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C40B6" w:rsidRPr="00CA2D19" w:rsidRDefault="00AC6E0E" w:rsidP="001A55CD">
      <w:pPr>
        <w:pStyle w:val="a3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sectPr w:rsidR="00AC40B6" w:rsidRPr="00CA2D19" w:rsidSect="006C7F5A">
      <w:footerReference w:type="default" r:id="rId10"/>
      <w:pgSz w:w="11906" w:h="16838"/>
      <w:pgMar w:top="709" w:right="567" w:bottom="709" w:left="1418" w:header="29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8B" w:rsidRDefault="007E1A8B" w:rsidP="00A167C0">
      <w:pPr>
        <w:spacing w:after="0" w:line="240" w:lineRule="auto"/>
      </w:pPr>
      <w:r>
        <w:separator/>
      </w:r>
    </w:p>
  </w:endnote>
  <w:endnote w:type="continuationSeparator" w:id="0">
    <w:p w:rsidR="007E1A8B" w:rsidRDefault="007E1A8B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39" w:rsidRDefault="00AE573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C5E6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8B" w:rsidRDefault="007E1A8B" w:rsidP="00A167C0">
      <w:pPr>
        <w:spacing w:after="0" w:line="240" w:lineRule="auto"/>
      </w:pPr>
      <w:r>
        <w:separator/>
      </w:r>
    </w:p>
  </w:footnote>
  <w:footnote w:type="continuationSeparator" w:id="0">
    <w:p w:rsidR="007E1A8B" w:rsidRDefault="007E1A8B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2234F"/>
    <w:rsid w:val="0002360D"/>
    <w:rsid w:val="00034D8B"/>
    <w:rsid w:val="00040CFB"/>
    <w:rsid w:val="00086EEA"/>
    <w:rsid w:val="0009094B"/>
    <w:rsid w:val="00097682"/>
    <w:rsid w:val="000A0EFC"/>
    <w:rsid w:val="000C2FCE"/>
    <w:rsid w:val="000D5456"/>
    <w:rsid w:val="00102DDD"/>
    <w:rsid w:val="00112158"/>
    <w:rsid w:val="00117862"/>
    <w:rsid w:val="00133710"/>
    <w:rsid w:val="00137FF4"/>
    <w:rsid w:val="00152CB6"/>
    <w:rsid w:val="00155BA9"/>
    <w:rsid w:val="00166C31"/>
    <w:rsid w:val="00172E98"/>
    <w:rsid w:val="00186C3D"/>
    <w:rsid w:val="00193650"/>
    <w:rsid w:val="00193AA1"/>
    <w:rsid w:val="00195296"/>
    <w:rsid w:val="001A321A"/>
    <w:rsid w:val="001A55CD"/>
    <w:rsid w:val="001A608F"/>
    <w:rsid w:val="001D3721"/>
    <w:rsid w:val="001E6F40"/>
    <w:rsid w:val="001E7876"/>
    <w:rsid w:val="001F7F2C"/>
    <w:rsid w:val="0020602E"/>
    <w:rsid w:val="00213828"/>
    <w:rsid w:val="00221F2C"/>
    <w:rsid w:val="0022673C"/>
    <w:rsid w:val="0023228A"/>
    <w:rsid w:val="0023653D"/>
    <w:rsid w:val="0024074F"/>
    <w:rsid w:val="00251E98"/>
    <w:rsid w:val="0026117B"/>
    <w:rsid w:val="002613D4"/>
    <w:rsid w:val="002720DF"/>
    <w:rsid w:val="0027702A"/>
    <w:rsid w:val="00291BF1"/>
    <w:rsid w:val="002928B9"/>
    <w:rsid w:val="0029589B"/>
    <w:rsid w:val="002A3559"/>
    <w:rsid w:val="002A6CF4"/>
    <w:rsid w:val="002B03E9"/>
    <w:rsid w:val="002B42C6"/>
    <w:rsid w:val="002E3B0C"/>
    <w:rsid w:val="002E708B"/>
    <w:rsid w:val="002E7B1C"/>
    <w:rsid w:val="003001A1"/>
    <w:rsid w:val="00323AB7"/>
    <w:rsid w:val="003519F9"/>
    <w:rsid w:val="0036222C"/>
    <w:rsid w:val="00364BF3"/>
    <w:rsid w:val="00380CED"/>
    <w:rsid w:val="003A41EF"/>
    <w:rsid w:val="003C2885"/>
    <w:rsid w:val="003C4096"/>
    <w:rsid w:val="003E38DD"/>
    <w:rsid w:val="003E6953"/>
    <w:rsid w:val="004072B4"/>
    <w:rsid w:val="004111AC"/>
    <w:rsid w:val="00424495"/>
    <w:rsid w:val="004409CC"/>
    <w:rsid w:val="004416FC"/>
    <w:rsid w:val="00446DC9"/>
    <w:rsid w:val="0046229D"/>
    <w:rsid w:val="0047722D"/>
    <w:rsid w:val="004875EA"/>
    <w:rsid w:val="004908EA"/>
    <w:rsid w:val="00490E4C"/>
    <w:rsid w:val="004926D4"/>
    <w:rsid w:val="00493936"/>
    <w:rsid w:val="004A4676"/>
    <w:rsid w:val="004A54B6"/>
    <w:rsid w:val="004A6DE6"/>
    <w:rsid w:val="004B0063"/>
    <w:rsid w:val="004C0E7B"/>
    <w:rsid w:val="004E4F09"/>
    <w:rsid w:val="004F1375"/>
    <w:rsid w:val="00504E01"/>
    <w:rsid w:val="00524969"/>
    <w:rsid w:val="00526D58"/>
    <w:rsid w:val="00535AC7"/>
    <w:rsid w:val="00547797"/>
    <w:rsid w:val="00557303"/>
    <w:rsid w:val="005776D8"/>
    <w:rsid w:val="00581034"/>
    <w:rsid w:val="0058111A"/>
    <w:rsid w:val="005832ED"/>
    <w:rsid w:val="0058348E"/>
    <w:rsid w:val="005872C8"/>
    <w:rsid w:val="005B1E65"/>
    <w:rsid w:val="005B3CEA"/>
    <w:rsid w:val="005C4893"/>
    <w:rsid w:val="005D7AD2"/>
    <w:rsid w:val="005E2BE5"/>
    <w:rsid w:val="005F5D87"/>
    <w:rsid w:val="0061126C"/>
    <w:rsid w:val="0061330D"/>
    <w:rsid w:val="006262ED"/>
    <w:rsid w:val="006318AF"/>
    <w:rsid w:val="00635005"/>
    <w:rsid w:val="00642687"/>
    <w:rsid w:val="00662439"/>
    <w:rsid w:val="0067300C"/>
    <w:rsid w:val="00684EB4"/>
    <w:rsid w:val="00691853"/>
    <w:rsid w:val="00696171"/>
    <w:rsid w:val="006A3446"/>
    <w:rsid w:val="006A6D32"/>
    <w:rsid w:val="006B510F"/>
    <w:rsid w:val="006C51E5"/>
    <w:rsid w:val="006C7F5A"/>
    <w:rsid w:val="006D05FB"/>
    <w:rsid w:val="006D5365"/>
    <w:rsid w:val="00701A64"/>
    <w:rsid w:val="00710A3C"/>
    <w:rsid w:val="007457EF"/>
    <w:rsid w:val="00754B09"/>
    <w:rsid w:val="00755130"/>
    <w:rsid w:val="007761E8"/>
    <w:rsid w:val="007773E7"/>
    <w:rsid w:val="007916C2"/>
    <w:rsid w:val="007A1E19"/>
    <w:rsid w:val="007B0454"/>
    <w:rsid w:val="007C2DBA"/>
    <w:rsid w:val="007E1A8B"/>
    <w:rsid w:val="007E6A4C"/>
    <w:rsid w:val="008259EE"/>
    <w:rsid w:val="008441C0"/>
    <w:rsid w:val="00846652"/>
    <w:rsid w:val="008554BE"/>
    <w:rsid w:val="00855D38"/>
    <w:rsid w:val="0085688A"/>
    <w:rsid w:val="00875E91"/>
    <w:rsid w:val="00881FD3"/>
    <w:rsid w:val="008C10BB"/>
    <w:rsid w:val="008D16F4"/>
    <w:rsid w:val="0090103B"/>
    <w:rsid w:val="00930771"/>
    <w:rsid w:val="00930B18"/>
    <w:rsid w:val="00945550"/>
    <w:rsid w:val="00951127"/>
    <w:rsid w:val="009516FC"/>
    <w:rsid w:val="009608D8"/>
    <w:rsid w:val="00960F26"/>
    <w:rsid w:val="00975042"/>
    <w:rsid w:val="0098042F"/>
    <w:rsid w:val="009826E8"/>
    <w:rsid w:val="00982B82"/>
    <w:rsid w:val="00986345"/>
    <w:rsid w:val="009877D5"/>
    <w:rsid w:val="00990D95"/>
    <w:rsid w:val="009A0DFF"/>
    <w:rsid w:val="009A7952"/>
    <w:rsid w:val="009D0A18"/>
    <w:rsid w:val="009D2114"/>
    <w:rsid w:val="009E3B80"/>
    <w:rsid w:val="009F03A3"/>
    <w:rsid w:val="009F3873"/>
    <w:rsid w:val="009F7CFA"/>
    <w:rsid w:val="00A00186"/>
    <w:rsid w:val="00A15CDC"/>
    <w:rsid w:val="00A167C0"/>
    <w:rsid w:val="00A54F09"/>
    <w:rsid w:val="00A63C19"/>
    <w:rsid w:val="00A6481B"/>
    <w:rsid w:val="00A65C2A"/>
    <w:rsid w:val="00A8750A"/>
    <w:rsid w:val="00AA30E2"/>
    <w:rsid w:val="00AA706E"/>
    <w:rsid w:val="00AC3C29"/>
    <w:rsid w:val="00AC40B6"/>
    <w:rsid w:val="00AC6E0E"/>
    <w:rsid w:val="00AE5739"/>
    <w:rsid w:val="00B10703"/>
    <w:rsid w:val="00B44A13"/>
    <w:rsid w:val="00B7445A"/>
    <w:rsid w:val="00B929C4"/>
    <w:rsid w:val="00B92ABD"/>
    <w:rsid w:val="00B932C3"/>
    <w:rsid w:val="00BA5240"/>
    <w:rsid w:val="00BA72C7"/>
    <w:rsid w:val="00BD04E0"/>
    <w:rsid w:val="00BF0B61"/>
    <w:rsid w:val="00BF624B"/>
    <w:rsid w:val="00C15357"/>
    <w:rsid w:val="00C2750E"/>
    <w:rsid w:val="00C330C2"/>
    <w:rsid w:val="00C47729"/>
    <w:rsid w:val="00C66B07"/>
    <w:rsid w:val="00C7529B"/>
    <w:rsid w:val="00C75401"/>
    <w:rsid w:val="00C76E43"/>
    <w:rsid w:val="00C8633D"/>
    <w:rsid w:val="00C92072"/>
    <w:rsid w:val="00C932B4"/>
    <w:rsid w:val="00CA2D19"/>
    <w:rsid w:val="00CC07A6"/>
    <w:rsid w:val="00CC284A"/>
    <w:rsid w:val="00CD087E"/>
    <w:rsid w:val="00CD6329"/>
    <w:rsid w:val="00CF6873"/>
    <w:rsid w:val="00D40DBD"/>
    <w:rsid w:val="00D50AF2"/>
    <w:rsid w:val="00D51DFC"/>
    <w:rsid w:val="00D57CA2"/>
    <w:rsid w:val="00D57DE9"/>
    <w:rsid w:val="00D75E92"/>
    <w:rsid w:val="00D84898"/>
    <w:rsid w:val="00D96116"/>
    <w:rsid w:val="00D96DC1"/>
    <w:rsid w:val="00DA4388"/>
    <w:rsid w:val="00DB715D"/>
    <w:rsid w:val="00DC1DFF"/>
    <w:rsid w:val="00DC5E60"/>
    <w:rsid w:val="00DE208A"/>
    <w:rsid w:val="00DF31F9"/>
    <w:rsid w:val="00DF6DBE"/>
    <w:rsid w:val="00E271A7"/>
    <w:rsid w:val="00E36021"/>
    <w:rsid w:val="00E4353B"/>
    <w:rsid w:val="00E51FCC"/>
    <w:rsid w:val="00E52065"/>
    <w:rsid w:val="00E53F02"/>
    <w:rsid w:val="00E651A4"/>
    <w:rsid w:val="00E71A4E"/>
    <w:rsid w:val="00E764A8"/>
    <w:rsid w:val="00E93F61"/>
    <w:rsid w:val="00EC0022"/>
    <w:rsid w:val="00EC0ABA"/>
    <w:rsid w:val="00EC7B37"/>
    <w:rsid w:val="00F0450E"/>
    <w:rsid w:val="00F16DBD"/>
    <w:rsid w:val="00F309BC"/>
    <w:rsid w:val="00F34022"/>
    <w:rsid w:val="00F36105"/>
    <w:rsid w:val="00F44139"/>
    <w:rsid w:val="00F60C08"/>
    <w:rsid w:val="00F740D5"/>
    <w:rsid w:val="00F95677"/>
    <w:rsid w:val="00FA66CB"/>
    <w:rsid w:val="00FA711D"/>
    <w:rsid w:val="00FB54D9"/>
    <w:rsid w:val="00FC1FC9"/>
    <w:rsid w:val="00FD2FAE"/>
    <w:rsid w:val="00FD4FF8"/>
    <w:rsid w:val="00FD546C"/>
    <w:rsid w:val="00FF1613"/>
    <w:rsid w:val="00FF43C9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character" w:customStyle="1" w:styleId="1">
    <w:name w:val="Основной текст Знак1"/>
    <w:uiPriority w:val="99"/>
    <w:rsid w:val="007916C2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7C81-902A-4A9E-BA96-E31D567E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7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87</cp:revision>
  <cp:lastPrinted>2022-11-22T04:08:00Z</cp:lastPrinted>
  <dcterms:created xsi:type="dcterms:W3CDTF">2013-10-10T06:50:00Z</dcterms:created>
  <dcterms:modified xsi:type="dcterms:W3CDTF">2023-11-20T09:07:00Z</dcterms:modified>
</cp:coreProperties>
</file>