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68F" w:rsidRPr="00940D19" w:rsidRDefault="00E30075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68F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39541BEB" wp14:editId="6ABFE934">
            <wp:extent cx="4859383" cy="2186380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563" cy="2197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8F" w:rsidRPr="00F6510C" w:rsidRDefault="00F6510C" w:rsidP="00F6510C">
      <w:pPr>
        <w:tabs>
          <w:tab w:val="left" w:pos="1290"/>
          <w:tab w:val="left" w:pos="3731"/>
          <w:tab w:val="left" w:pos="7170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510C">
        <w:rPr>
          <w:rFonts w:ascii="Arial" w:hAnsi="Arial" w:cs="Arial"/>
          <w:color w:val="000000" w:themeColor="text1"/>
          <w:sz w:val="24"/>
          <w:szCs w:val="24"/>
        </w:rPr>
        <w:t>09.08.2023</w:t>
      </w:r>
      <w:r w:rsidRPr="00F6510C">
        <w:rPr>
          <w:rFonts w:ascii="Arial" w:hAnsi="Arial" w:cs="Arial"/>
          <w:color w:val="000000" w:themeColor="text1"/>
          <w:sz w:val="24"/>
          <w:szCs w:val="24"/>
        </w:rPr>
        <w:tab/>
      </w:r>
      <w:r w:rsidRPr="00F6510C">
        <w:rPr>
          <w:rFonts w:ascii="Arial" w:hAnsi="Arial" w:cs="Arial"/>
          <w:color w:val="000000" w:themeColor="text1"/>
          <w:sz w:val="24"/>
          <w:szCs w:val="24"/>
        </w:rPr>
        <w:tab/>
        <w:t>453-п</w:t>
      </w:r>
    </w:p>
    <w:p w:rsidR="00FE10D5" w:rsidRPr="00940D19" w:rsidRDefault="00FE10D5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B33" w:rsidRPr="00565FFE" w:rsidRDefault="00244B33" w:rsidP="00244B3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65FFE">
        <w:rPr>
          <w:rFonts w:ascii="Arial" w:hAnsi="Arial" w:cs="Arial"/>
          <w:bCs/>
          <w:sz w:val="24"/>
          <w:szCs w:val="24"/>
        </w:rPr>
        <w:t xml:space="preserve">Об утверждении Требований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к условиям и порядку оказания муниципальной услуги 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bCs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eastAsia="Calibri" w:hAnsi="Arial" w:cs="Arial"/>
          <w:bCs/>
          <w:i/>
          <w:iCs/>
          <w:sz w:val="24"/>
          <w:szCs w:val="24"/>
          <w:lang w:eastAsia="ru-RU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bCs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с социальным сертификатом</w:t>
      </w:r>
    </w:p>
    <w:p w:rsidR="00FE10D5" w:rsidRPr="00565FFE" w:rsidRDefault="00FE10D5" w:rsidP="00244B33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D17F8" w:rsidRPr="00565FFE" w:rsidRDefault="009D17F8" w:rsidP="009D17F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5FFE">
        <w:rPr>
          <w:rFonts w:ascii="Arial" w:hAnsi="Arial" w:cs="Arial"/>
          <w:sz w:val="24"/>
          <w:szCs w:val="24"/>
        </w:rPr>
        <w:t xml:space="preserve">В соответствии с пунктом 4 статьи 5 </w:t>
      </w:r>
      <w:r w:rsidRPr="00565FFE">
        <w:rPr>
          <w:rStyle w:val="af8"/>
          <w:rFonts w:ascii="Arial" w:hAnsi="Arial" w:cs="Arial"/>
          <w:color w:val="000000" w:themeColor="text1"/>
          <w:sz w:val="24"/>
          <w:szCs w:val="24"/>
        </w:rPr>
        <w:t>Федерального закона</w:t>
      </w:r>
      <w:r w:rsidRPr="00565FF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65FFE">
        <w:rPr>
          <w:rFonts w:ascii="Arial" w:hAnsi="Arial" w:cs="Arial"/>
          <w:sz w:val="24"/>
          <w:szCs w:val="24"/>
        </w:rPr>
        <w:t>от 13.07.2020 № 189-ФЗ «О государственном (муниципальном) социальном заказе на оказание государственных (муниципальных) услуг в социальной сфере», постановлениями администрации Шарыповского муниципального округа от  01.06.2023 № 333-п «Об организации оказания муниципальных услуг в социальной сфере на территории муниципального образования» и от 25.07.2023 № 424-п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 w:rsidRPr="00565FFE">
        <w:rPr>
          <w:rFonts w:ascii="Arial" w:eastAsia="Times New Roman" w:hAnsi="Arial" w:cs="Arial"/>
          <w:sz w:val="24"/>
          <w:szCs w:val="24"/>
          <w:lang w:eastAsia="ru-RU"/>
        </w:rPr>
        <w:t>, руководствуясь статьей 38 Устава Шарыповского муниципального округа,</w:t>
      </w:r>
    </w:p>
    <w:p w:rsidR="009D17F8" w:rsidRPr="00565FFE" w:rsidRDefault="009D17F8" w:rsidP="009D17F8">
      <w:pPr>
        <w:tabs>
          <w:tab w:val="left" w:pos="3731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65FFE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hAnsi="Arial" w:cs="Arial"/>
          <w:sz w:val="24"/>
          <w:szCs w:val="24"/>
        </w:rPr>
        <w:t xml:space="preserve">Утвердить прилагаемые Требования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к условиям и порядку оказания муниципальной услуги 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 с социальным сертификатом</w:t>
      </w:r>
      <w:r w:rsidRPr="00565FFE">
        <w:rPr>
          <w:rFonts w:ascii="Arial" w:hAnsi="Arial" w:cs="Arial"/>
          <w:sz w:val="24"/>
          <w:szCs w:val="24"/>
        </w:rPr>
        <w:t xml:space="preserve"> (далее – Требования).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hAnsi="Arial" w:cs="Arial"/>
          <w:sz w:val="24"/>
          <w:szCs w:val="24"/>
        </w:rPr>
        <w:t xml:space="preserve">Муниципальному бюджетному образовательному учреждению дополнительного образования Шарыповского муниципального округа Детско-юношескому центру (далее – МБОУ ДО ШМО ДЮЦ) обеспечить оказание муниципальной услуги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 с социальным сертификатом (далее – муниципальная услуга) на условиях и в порядке, установленном Требованиями.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целях проведения отбора исполнителей муниципальной услуги </w:t>
      </w:r>
      <w:r w:rsidRPr="00565FFE">
        <w:rPr>
          <w:rFonts w:ascii="Arial" w:hAnsi="Arial" w:cs="Arial"/>
          <w:sz w:val="24"/>
          <w:szCs w:val="24"/>
        </w:rPr>
        <w:t>МБОУ ДО ШМО ДЮЦ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 организовать процедуру включения сведений о дополнительных общеразвивающих программах в соответствующий раздел реестра исполнителей муниципальной услуги в соответствии с </w:t>
      </w:r>
      <w:r w:rsidRPr="00565FFE">
        <w:rPr>
          <w:rFonts w:ascii="Arial" w:hAnsi="Arial" w:cs="Arial"/>
          <w:sz w:val="24"/>
          <w:szCs w:val="24"/>
        </w:rPr>
        <w:t>Порядком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, утвержденным </w:t>
      </w:r>
      <w:r w:rsidRPr="00565FFE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Pr="00565FFE">
        <w:rPr>
          <w:rFonts w:ascii="Arial" w:eastAsia="Calibri" w:hAnsi="Arial" w:cs="Arial"/>
          <w:iCs/>
          <w:sz w:val="24"/>
          <w:szCs w:val="24"/>
          <w:lang w:eastAsia="ru-RU"/>
        </w:rPr>
        <w:t>Шарыповского муниципального округа</w:t>
      </w:r>
      <w:r w:rsidRPr="00565FFE">
        <w:rPr>
          <w:rFonts w:ascii="Arial" w:hAnsi="Arial" w:cs="Arial"/>
          <w:sz w:val="24"/>
          <w:szCs w:val="24"/>
        </w:rPr>
        <w:t xml:space="preserve"> от 25.07.2023 № 424-п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Контроль за исполнением постановления возложить на А.В. Баха, заместителя главы округа по социальным вопросам.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 </w:t>
      </w:r>
      <w:r w:rsidRPr="00565FFE">
        <w:rPr>
          <w:rFonts w:ascii="Arial" w:hAnsi="Arial" w:cs="Arial"/>
          <w:color w:val="000000" w:themeColor="text1"/>
          <w:sz w:val="24"/>
          <w:szCs w:val="24"/>
        </w:rPr>
        <w:t>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FE10D5" w:rsidRPr="00565FFE" w:rsidRDefault="00FE10D5" w:rsidP="00244B33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30075" w:rsidRPr="00565FFE" w:rsidRDefault="00E30075" w:rsidP="00244B33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44B33" w:rsidRPr="00565FFE" w:rsidRDefault="00FE10D5" w:rsidP="00821B6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65FFE">
        <w:rPr>
          <w:rFonts w:ascii="Arial" w:hAnsi="Arial" w:cs="Arial"/>
          <w:color w:val="000000" w:themeColor="text1"/>
          <w:sz w:val="24"/>
          <w:szCs w:val="24"/>
        </w:rPr>
        <w:t xml:space="preserve">Глава округа                              </w:t>
      </w:r>
      <w:r w:rsidRPr="00565FFE">
        <w:rPr>
          <w:rFonts w:ascii="Arial" w:hAnsi="Arial" w:cs="Arial"/>
          <w:color w:val="FF0000"/>
          <w:sz w:val="24"/>
          <w:szCs w:val="24"/>
        </w:rPr>
        <w:t xml:space="preserve">                                  </w:t>
      </w:r>
      <w:r w:rsidR="009D17F8" w:rsidRPr="00565FFE">
        <w:rPr>
          <w:rFonts w:ascii="Arial" w:hAnsi="Arial" w:cs="Arial"/>
          <w:color w:val="FF0000"/>
          <w:sz w:val="24"/>
          <w:szCs w:val="24"/>
        </w:rPr>
        <w:t xml:space="preserve">         </w:t>
      </w:r>
      <w:r w:rsidR="00B80426" w:rsidRPr="00565FFE">
        <w:rPr>
          <w:rFonts w:ascii="Arial" w:hAnsi="Arial" w:cs="Arial"/>
          <w:color w:val="FF0000"/>
          <w:sz w:val="24"/>
          <w:szCs w:val="24"/>
        </w:rPr>
        <w:t xml:space="preserve">             </w:t>
      </w:r>
      <w:r w:rsidR="009D17F8" w:rsidRPr="00565FFE">
        <w:rPr>
          <w:rFonts w:ascii="Arial" w:hAnsi="Arial" w:cs="Arial"/>
          <w:color w:val="FF0000"/>
          <w:sz w:val="24"/>
          <w:szCs w:val="24"/>
        </w:rPr>
        <w:t xml:space="preserve">        </w:t>
      </w:r>
      <w:r w:rsidRPr="00565FFE">
        <w:rPr>
          <w:rFonts w:ascii="Arial" w:hAnsi="Arial" w:cs="Arial"/>
          <w:color w:val="000000" w:themeColor="text1"/>
          <w:sz w:val="24"/>
          <w:szCs w:val="24"/>
        </w:rPr>
        <w:t>Г.В. Качаев</w:t>
      </w: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E43E40" w:rsidRDefault="00E43E40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P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Pr="00565FFE" w:rsidRDefault="00565FFE" w:rsidP="005675DD">
      <w:pPr>
        <w:pStyle w:val="ConsNormal"/>
        <w:ind w:right="0" w:firstLine="0"/>
        <w:rPr>
          <w:rFonts w:eastAsiaTheme="minorHAnsi"/>
          <w:color w:val="000000" w:themeColor="text1"/>
          <w:sz w:val="24"/>
          <w:szCs w:val="24"/>
          <w:lang w:eastAsia="en-US"/>
        </w:rPr>
      </w:pPr>
    </w:p>
    <w:p w:rsidR="00244B33" w:rsidRPr="00565FFE" w:rsidRDefault="00244B33" w:rsidP="005675DD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lastRenderedPageBreak/>
        <w:t>Приложение</w:t>
      </w:r>
    </w:p>
    <w:p w:rsidR="00244B33" w:rsidRPr="00565FFE" w:rsidRDefault="00244B33" w:rsidP="00244B33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t xml:space="preserve">УТВЕРЖДЕНЫ </w:t>
      </w:r>
    </w:p>
    <w:p w:rsidR="00244B33" w:rsidRPr="00565FFE" w:rsidRDefault="00244B33" w:rsidP="00244B33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t>к распоряжению администрации</w:t>
      </w:r>
    </w:p>
    <w:p w:rsidR="00244B33" w:rsidRPr="00565FFE" w:rsidRDefault="00244B33" w:rsidP="00244B33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t xml:space="preserve">Шарыповского муниципального округа </w:t>
      </w:r>
    </w:p>
    <w:p w:rsidR="00244B33" w:rsidRPr="00565FFE" w:rsidRDefault="00F6510C" w:rsidP="00244B33">
      <w:pPr>
        <w:tabs>
          <w:tab w:val="left" w:pos="5387"/>
          <w:tab w:val="left" w:pos="5670"/>
        </w:tabs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44B33" w:rsidRPr="00565FFE">
        <w:rPr>
          <w:rFonts w:ascii="Arial" w:eastAsia="Times New Roman" w:hAnsi="Arial" w:cs="Arial"/>
          <w:sz w:val="24"/>
          <w:szCs w:val="24"/>
          <w:lang w:eastAsia="ru-RU"/>
        </w:rPr>
        <w:t>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09.08.2023 </w:t>
      </w:r>
      <w:r w:rsidR="00244B33" w:rsidRPr="00565FFE">
        <w:rPr>
          <w:rFonts w:ascii="Arial" w:eastAsia="Times New Roman" w:hAnsi="Arial" w:cs="Arial"/>
          <w:sz w:val="24"/>
          <w:szCs w:val="24"/>
          <w:lang w:eastAsia="ru-RU"/>
        </w:rPr>
        <w:t>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453-п</w:t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ТРЕБОВАНИЯ </w:t>
      </w:r>
      <w:bookmarkStart w:id="0" w:name="_GoBack"/>
      <w:bookmarkEnd w:id="0"/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bookmarkStart w:id="1" w:name="_Hlk130201089"/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к условиям и порядку оказания муниципальной услуги 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b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b/>
          <w:bCs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с социальным сертификатом</w:t>
      </w:r>
      <w:bookmarkEnd w:id="1"/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br/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1. Настоящие Требования к условиям и порядку оказания муниципальной услуги в социальной сфере «Реализация дополнительных общеразвивающих программ»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в </w:t>
      </w:r>
      <w:r w:rsidRPr="00565FFE">
        <w:rPr>
          <w:rFonts w:ascii="Arial" w:eastAsia="Calibri" w:hAnsi="Arial" w:cs="Arial"/>
          <w:bCs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bCs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bCs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с социальным сертификатом (далее - муниципальная услуга, Требования) определяет организацию реализации дополнительных общеразвивающих программ детям в возрасте от 5 до 18 лет, проживающим на территории </w:t>
      </w:r>
      <w:r w:rsidR="00E30075" w:rsidRPr="00565FFE">
        <w:rPr>
          <w:rFonts w:ascii="Arial" w:eastAsia="Calibri" w:hAnsi="Arial" w:cs="Arial"/>
          <w:bCs/>
          <w:sz w:val="24"/>
          <w:szCs w:val="24"/>
          <w:lang w:eastAsia="ru-RU"/>
        </w:rPr>
        <w:t>Шарыповского муниципального округа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, в соответствии с социальными сертификатами.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2. Уполномоченным органом, утверждающим муниципальный социальный заказ на оказание муниципальной услуги и обеспечивающим его исполнение, является орган местного самоуправления Шарыповского муниципального округа (далее – уполномоченный орган).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3. Исполнителем муниципальной услуги является организация, осуществляющая образовательную деятельность или индивидуальный предприниматель,</w:t>
      </w:r>
      <w:r w:rsidRPr="00565FFE">
        <w:rPr>
          <w:rFonts w:ascii="Arial" w:eastAsia="Times New Roman" w:hAnsi="Arial" w:cs="Arial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имеющие лицензию на подвид «дополнительное образование детей и взрослых», а также индивидуальные предприниматели, осуществляющие образовательную деятельность непосредственно, включенные в реестр исполнителей муниципальной услуги в соответствии с Порядком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сертификатом, утвержденным постановлением администрации  </w:t>
      </w:r>
      <w:r w:rsidR="00E57956" w:rsidRPr="00565FFE">
        <w:rPr>
          <w:rFonts w:ascii="Arial" w:hAnsi="Arial" w:cs="Arial"/>
          <w:sz w:val="24"/>
          <w:szCs w:val="24"/>
        </w:rPr>
        <w:t xml:space="preserve">от  25.07.2023 № 424-п </w:t>
      </w:r>
      <w:r w:rsidRPr="00565FFE">
        <w:rPr>
          <w:rFonts w:ascii="Arial" w:hAnsi="Arial" w:cs="Arial"/>
          <w:sz w:val="24"/>
          <w:szCs w:val="24"/>
        </w:rPr>
        <w:t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(далее соответственно – Исполнитель, Порядок формирования реестра исполнителей).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4. Потребителями муниципальной услуги являются дети в возрасте от 5 до 18 лет, проживающие на территории Шарыповского муниципального округа и имеющие право на получение муниципальных услуг в соответствии с социальным сертификатом (далее - Потребитель).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5. Подтверждение соответствия настоящим Требованиям дополнительной общеразвивающей программы, сведения о которой включаются уполномоченным органом по заявлению Исполнителя в соответствующий раздел реестра исполнителей муниципальной услуги «Реализация дополнительных образовательных программ (за исключением дополнительных предпрофессиональных программ в области искусства)» (далее – реестр исполнителей услуги) в соответствии с социальным сертификатом по правилам, определенным Порядком формирования реестра исполнителей, обеспечивается путем проведения процедуры общественной экспертизы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программ, утвержденным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 xml:space="preserve">приказом Министерства образования </w:t>
      </w:r>
      <w:r w:rsidRPr="00565FFE">
        <w:rPr>
          <w:rFonts w:ascii="Arial" w:eastAsia="Times New Roman" w:hAnsi="Arial" w:cs="Arial"/>
          <w:sz w:val="24"/>
          <w:szCs w:val="24"/>
        </w:rPr>
        <w:t xml:space="preserve">Красноярского края от </w:t>
      </w:r>
      <w:r w:rsidRPr="00565FFE">
        <w:rPr>
          <w:rFonts w:ascii="Arial" w:eastAsia="Times New Roman" w:hAnsi="Arial" w:cs="Arial"/>
          <w:sz w:val="24"/>
          <w:szCs w:val="24"/>
          <w:u w:val="single"/>
        </w:rPr>
        <w:t>25.08.2020</w:t>
      </w:r>
      <w:r w:rsidRPr="00565FFE">
        <w:rPr>
          <w:rFonts w:ascii="Arial" w:eastAsia="Times New Roman" w:hAnsi="Arial" w:cs="Arial"/>
          <w:sz w:val="24"/>
          <w:szCs w:val="24"/>
        </w:rPr>
        <w:t xml:space="preserve"> № </w:t>
      </w:r>
      <w:r w:rsidRPr="00565FFE">
        <w:rPr>
          <w:rFonts w:ascii="Arial" w:eastAsia="Times New Roman" w:hAnsi="Arial" w:cs="Arial"/>
          <w:sz w:val="24"/>
          <w:szCs w:val="24"/>
          <w:u w:val="single"/>
        </w:rPr>
        <w:t>321-11-05</w:t>
      </w:r>
      <w:r w:rsidRPr="00565FFE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(далее – Регламент НОК).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6. При организации проведения общественной экспертизы в форме независимой оценки качества в соответствии с пунктом 5 настоящих Требований уполномоченный орган руководствуется Минимальным требованиям к оказанию муниципальной услуги в социальной сфере «Реализации дополнительных общеразвивающих  программ» согласно приложению № 1 к настоящим Требованиям (далее – Минимальные требования), а также Критериями оценки соответствия дополнительной общеразвивающей программы Минимальным требованиям, установленными согласно приложению № 2 к настоящим Требованиям.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7. Качество оказания муниципальной услуги характеризуется соответствием Порядку организации и осуществления образовательной деятельности по дополнительным общеобразовательным программам, утвержденному приказом Министерства просвещения Российской Федерации от 27 июля 2022 года № 629.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highlight w:val="yellow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8. Мероприятия по оказанию муниципальной услуги включают в себя проведение занятий в формате, определенном </w:t>
      </w:r>
      <w:r w:rsidRPr="00565FFE">
        <w:rPr>
          <w:rFonts w:ascii="Arial" w:eastAsia="Times New Roman" w:hAnsi="Arial" w:cs="Arial"/>
          <w:sz w:val="24"/>
          <w:szCs w:val="24"/>
        </w:rPr>
        <w:t xml:space="preserve">в </w:t>
      </w:r>
      <w:r w:rsidRPr="00565FFE">
        <w:rPr>
          <w:rFonts w:ascii="Arial" w:hAnsi="Arial" w:cs="Arial"/>
          <w:sz w:val="24"/>
          <w:szCs w:val="24"/>
        </w:rPr>
        <w:t>разделе II</w:t>
      </w:r>
      <w:r w:rsidRPr="00565FFE">
        <w:rPr>
          <w:rFonts w:ascii="Arial" w:hAnsi="Arial" w:cs="Arial"/>
          <w:sz w:val="24"/>
          <w:szCs w:val="24"/>
          <w:lang w:val="en-US"/>
        </w:rPr>
        <w:t>I</w:t>
      </w:r>
      <w:r w:rsidRPr="00565FFE">
        <w:rPr>
          <w:rFonts w:ascii="Arial" w:hAnsi="Arial" w:cs="Arial"/>
          <w:sz w:val="24"/>
          <w:szCs w:val="24"/>
        </w:rPr>
        <w:t xml:space="preserve"> «Сведения о государственной (муниципальной) услуге в социальной сфере и условиях ее оказания» реестра исполнителей услуги, согласно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Порядку формирования реестра исполнителей.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9. Проведение занятий в рамках оказания муниципальной услуги осуществляется согласно установленному локальным актом Исполнителя расписанию занятий.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10. В объеме муниципального заказа, установленном Исполнителю оказания муниципальной услуги по результатам отбора, учитываются человеко-часы реализации дополнительной общеразвивающей программы.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11. Значение нормативных затрат на оказание муниципальной услуги ежегодно устанавливается актом Уполномоченного органа.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13. Контроль за реализацией мероприятий по оказанию муниципальной услуги осуществляется уполномоченным органом в соответствии с действующим законодательством Российской Федерации.</w:t>
      </w:r>
    </w:p>
    <w:p w:rsidR="00244B33" w:rsidRPr="00565FFE" w:rsidRDefault="00244B33" w:rsidP="00244B33">
      <w:pPr>
        <w:spacing w:after="0" w:line="240" w:lineRule="auto"/>
        <w:ind w:firstLine="709"/>
        <w:rPr>
          <w:rFonts w:ascii="Arial" w:hAnsi="Arial" w:cs="Arial"/>
          <w:b/>
          <w:bCs/>
          <w:i/>
          <w:sz w:val="24"/>
          <w:szCs w:val="24"/>
          <w:vertAlign w:val="subscript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  <w:sectPr w:rsidR="00244B33" w:rsidRPr="00565FFE" w:rsidSect="00244B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>Приложение № 1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hAnsi="Arial" w:cs="Arial"/>
          <w:sz w:val="24"/>
          <w:szCs w:val="24"/>
        </w:rPr>
        <w:t xml:space="preserve">       УТВЕРЖДЕНЫ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        к Требованиям</w:t>
      </w: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cap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caps/>
          <w:sz w:val="24"/>
          <w:szCs w:val="24"/>
          <w:lang w:eastAsia="ru-RU"/>
        </w:rPr>
        <w:t xml:space="preserve">Минимальные требования </w:t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>к оказанию муниципальной услуги в социальной сфере по реализации дополнительных общеразвивающих программ</w:t>
      </w:r>
    </w:p>
    <w:p w:rsidR="00244B33" w:rsidRPr="00565FFE" w:rsidRDefault="00244B33" w:rsidP="00244B33">
      <w:pPr>
        <w:widowControl w:val="0"/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490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9766"/>
      </w:tblGrid>
      <w:tr w:rsidR="00244B33" w:rsidRPr="00565FFE" w:rsidTr="006C6343">
        <w:trPr>
          <w:trHeight w:val="573"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№ п/п</w:t>
            </w:r>
          </w:p>
        </w:tc>
        <w:tc>
          <w:tcPr>
            <w:tcW w:w="9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Требования к оказанию муниципальной услуги </w:t>
            </w:r>
          </w:p>
        </w:tc>
      </w:tr>
    </w:tbl>
    <w:p w:rsidR="00244B33" w:rsidRPr="00565FFE" w:rsidRDefault="00244B33" w:rsidP="00244B3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0490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2397"/>
        <w:gridCol w:w="7369"/>
      </w:tblGrid>
      <w:tr w:rsidR="00244B33" w:rsidRPr="00565FFE" w:rsidTr="006C6343">
        <w:trPr>
          <w:trHeight w:val="280"/>
          <w:tblHeader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</w:tr>
      <w:tr w:rsidR="00244B33" w:rsidRPr="00565FFE" w:rsidTr="006C6343">
        <w:trPr>
          <w:trHeight w:val="460"/>
        </w:trPr>
        <w:tc>
          <w:tcPr>
            <w:tcW w:w="104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244B33">
            <w:pPr>
              <w:pStyle w:val="a8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оказанию муниципальной услуги, обусловленные лицензированием образовательной деятельности</w:t>
            </w:r>
          </w:p>
        </w:tc>
      </w:tr>
      <w:tr w:rsidR="00244B33" w:rsidRPr="00565FFE" w:rsidTr="006C6343">
        <w:trPr>
          <w:trHeight w:val="1104"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1.1.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Требования к законности и безопасности оказания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муниципальной услуги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Муниципальная услуга оказывается в соответствии с требованиями </w:t>
            </w:r>
            <w:hyperlink r:id="rId9" w:history="1">
              <w:r w:rsidRPr="00565FFE">
                <w:rPr>
                  <w:rFonts w:ascii="Arial" w:eastAsia="Times New Roman" w:hAnsi="Arial" w:cs="Arial"/>
                  <w:kern w:val="2"/>
                  <w:sz w:val="24"/>
                  <w:szCs w:val="24"/>
                  <w:lang w:eastAsia="ru-RU"/>
                  <w14:ligatures w14:val="standardContextual"/>
                </w:rPr>
                <w:t>Федерального закона от 29.12.2012 № 273-ФЗ  "Об образовании в Российской Федерации"</w:t>
              </w:r>
            </w:hyperlink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(далее – Закон об образовании), обязательным условием является наличие у  исполнителя муниципальной услуги лицензии на осуществление образовательной деятельности по подвиду «дополнительное образование детей и взрослых».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Лицензионные требования, установленные Положением о лицензировании образовательной деятельности, утвержденным постановлением Правительства Российской Федерации от 18 сентября 2020 г. № 1490, в том числе требования к материально-техническому обеспечению оказания муниципальной услуги и к помещениям при оказании муниципальной услуги, не требуют повторного подтверждения при оказании муниципальной услуги.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Информационное обеспечение предоставления  муниципальной услуги осуществляется в соответствии со статьей 29 Закона об образовании.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Муниципальная услуга оказывается потребителю в соответствии   с ГОСТ Р 58485-2019 «Обеспечение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 организаций», Постановлением Правительства РФ от 2 августа 2019 г. N 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(территорий)", приказом Министерства просвещения РФ от 27 июля 2022 г. N 629 «Об утверждении Порядка организации и осуществления образовательной деятельности по дополнительным общеобразовательным программам», ГОСТ 19301.2-2016. «Мебель детская дошкольная», ГОСТ 22046-2016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«Мебель для учебных заведений. Общие технические условия», СП 2.4.3648-20 "Санитарно-эпидемиологические требования к организациям воспитания и обучения, отдыха и оздоровления детей и молодежи", СанПиН 1.2.3685-21 «Гигиенические нормативы и требования к обеспечению безопасности и (или) безвредности для человека факторов среды обитания».</w:t>
            </w:r>
          </w:p>
        </w:tc>
      </w:tr>
      <w:tr w:rsidR="00244B33" w:rsidRPr="00565FFE" w:rsidTr="006C6343">
        <w:trPr>
          <w:trHeight w:val="1954"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1.2.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персоналу, непосредственно обеспечивающему предоставление муниципальной услуги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Предоставление муниципальной услуги должно осуществляться квалифицированными специалистами в сфере образования, имеющими необходимый для выполнения должностных обязанностей уровень профессиональной подготовки, удостоверяемый документами об образовании и соответствующий требования к стажу работы.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Персонал должен иметь профессиональную квалификацию , необходимый для выполнения трудовых функций уровень подготовки, соответствующий: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- Профессиональному стандарту «Педагог дополнительного образования», утвержденному приказом Министерства труда и социального развития от 22.09.2021г.№652;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- Профессиональному стандарту «Педагог-психолог», утвержденному приказом Минтруда России от 24.07.2015г. №514н, квалификационной характеристики по должности в соответствии с Единым квалификационным справочником должностей руководителей, специалистов и служащих» утвержденного приказом Минздравсоцразвития от 26.08.2010г. №761н.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- Персонал, задействованный в оказании муниципальной услуги, должен обладать знаниями и специальными навыками по действиям в чрезвычайных ситуациях, оказанию первой доврачебной помощи потребителям муниципальной услуги, в том числе: знать и учитывать в процессе оказания муниципальной услуги индивидуальные особенности детей и подростков, возрастные особенности развития, физического и психологического состояния, владеть методиками адаптации и реабилитации, знать анимационные технологии при организации досуга и отдыха, создавать атмосферу благожелательности и гостеприимства, уметь разрешать конфликтные ситуации.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Порядок комплектования учреждения работниками регламентируется Трудовым кодексом Российской Федерации, уставом организации, осуществляющей образовательную деятельность, и должно быть обеспечено необходимым числом специалистов в соответствии со штатным расписанием. В случае их отсутствия соответствующие специалисты привлекаются на основе внешнего и внутреннего совместительства и (или) на основании гражданско-правовых договоров.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Состав персонала определяется в соответствии со штатным расписанием.</w:t>
            </w:r>
          </w:p>
        </w:tc>
      </w:tr>
      <w:tr w:rsidR="00244B33" w:rsidRPr="00565FFE" w:rsidTr="006C6343">
        <w:tc>
          <w:tcPr>
            <w:tcW w:w="104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  <w:t>2. Требования к дополнительной образовательной программе (далее – ДОП), реализуемой в соответствии с социальным сертификатом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  <w:t>Соответствие нормативным требованиям к разработке и утверждению ДОП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Дополнительная образовательная программа должна быть составлена в соответствии с:</w:t>
            </w:r>
          </w:p>
          <w:p w:rsidR="00244B33" w:rsidRPr="00565FFE" w:rsidRDefault="00244B33" w:rsidP="006C6343">
            <w:pPr>
              <w:pStyle w:val="1"/>
              <w:shd w:val="clear" w:color="auto" w:fill="FFFFFF"/>
              <w:spacing w:before="0" w:line="240" w:lineRule="auto"/>
              <w:ind w:firstLine="363"/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color w:val="auto"/>
                <w:sz w:val="24"/>
                <w:szCs w:val="24"/>
                <w:lang w:eastAsia="ru-RU"/>
                <w14:ligatures w14:val="standardContextual"/>
              </w:rPr>
              <w:t xml:space="preserve"> - </w:t>
            </w:r>
            <w:r w:rsidRPr="00565FFE"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  <w:t>Федеральным законом "Об образовании в Российской Федерации" от 29.12.2012 N 273-ФЗ;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-  Концепцией развития дополнительного образования детей до 2030 года, утвержденной распоряжением Правительства Российской Федерации от 31 марта 2022 г. № 678-р; 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-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приказом Министерства просвещения РФ от 27 июля 2022 г. N 629 «Об утверждении Порядка организации и осуществления образовательной деятельности по дополнительным общеобразовательным программам»;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outlineLvl w:val="1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Письмом Минобрнауки России от 18.11.2015 N 09-3242 "О направлении информации" (вместе с "Методическими рекомендациями по проектированию дополнительных общеразвивающих программ (включая разноуровневые программы)")</w:t>
            </w:r>
          </w:p>
          <w:p w:rsidR="00244B33" w:rsidRPr="00565FFE" w:rsidRDefault="00244B33" w:rsidP="006C6343">
            <w:pPr>
              <w:pStyle w:val="1"/>
              <w:spacing w:before="0" w:line="240" w:lineRule="auto"/>
              <w:ind w:firstLine="363"/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color w:val="auto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565FFE"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  <w:t xml:space="preserve"> Письмо Минобрнауки России от 29.03.2016 N ВК-641/09 «О 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- СП 2.4.3648-20 "Санитарно-эпидемиологические требования к организациям воспитания и обучения, отдыха и оздоровления детей и молодежи";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- Уставом и локальными актами учреждения.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Соответствие ДОП целям и задачам дополнительного образования детей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65FFE">
              <w:rPr>
                <w:rFonts w:ascii="Arial" w:hAnsi="Arial" w:cs="Arial"/>
                <w:bCs/>
                <w:sz w:val="24"/>
                <w:szCs w:val="24"/>
              </w:rPr>
              <w:t>Цели и задачи ДОП должны соответствовать требованиям статьи 75 Закона об образовании.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outlineLvl w:val="1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bCs/>
                <w:sz w:val="24"/>
                <w:szCs w:val="24"/>
              </w:rPr>
              <w:t>Реализация образовательной программы не должна быть нацелена на достижение предметных результатов освоения программы дошкольного  образования и (или) основной образовательной программы начального и(или) основного и(или) среднего общего образования, предусмотренных федеральными государственными образовательными стандартами основного общего образования.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Соответствие ДОП нормативным требованиям к ее структуре.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 соответствии со п.9. ст.2 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Федерального закона "Об образовании в Российской Федерации" от 29.12.2012 N 273-ФЗ в ДОП д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олжны присутствовать обязательные структурные компоненты: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1. Титульный лист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2. Комплекс основных характеристик ДОП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3. Комплекс организационно-педагогических условий ДОП.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оформлению титульного листа ДОП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На титульном листе обязательно указываются: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наименование органа управления образованием, осуществляющего полномочия учредителя (при наличии);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наименование организации осуществляющей образовательную деятельность;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реквизиты утверждения ДОП, включающие дату утверждения, номера приказа и протокола (при наличии), подпись директора, печать;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название ДОП;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направленность;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возраст обучающихся, на которых рассчитана ДОП;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срок реализации; количество часов по ДОП;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ФИО и должность автора (ов) ДОП; 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наименование населенного пункта, в котором реализуется программа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Требования к содержанию комплекса основных характеристик ДОП  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Комплекс основных характеристик ДОП должен включать в себя следующие элементы: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пояснительная записка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, в которой указывается нормативно-правовая основа ДОП, направленность, актуальность</w:t>
            </w:r>
            <w:r w:rsidRPr="00565FFE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 xml:space="preserve">; 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отличительная особенность ДОП (как построена, модульная, разноуровневая, традиционная, возможность реализации индивидуального образовательного маршрута обучающегося по индивидуальному плану); адресат (</w:t>
            </w:r>
            <w:r w:rsidRPr="00565FFE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>возраст,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категория обучающихся, которые могут обучаться по ДОП);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уровень ДОП </w:t>
            </w:r>
            <w:r w:rsidRPr="00565FFE">
              <w:rPr>
                <w:rFonts w:ascii="Arial" w:hAnsi="Arial" w:cs="Arial"/>
                <w:sz w:val="24"/>
                <w:szCs w:val="24"/>
              </w:rPr>
              <w:t>(разноуровневая программа – стартовый, базовый или продвинутый уровень; многоуровневая программа – стартовый и базовый уровни; стартовый, базовый и продвинутый уровни); базовый и продвинутый уровни).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объем и срок освоения ДОП (общее количество учебных часов, запланированных на весь период обучения), режим занятий (количество часов и занятий в неделю; периодичность и продолжительность занятий); особенности реализации ДОП, особенности организации образовательного процесса (в сетевой  или дистанционной форме; при помощи электронного обучения; в рамках заочных и(или) сезонных школ); формы обучения: (очная, очно-заочная, заочная; </w:t>
            </w:r>
            <w:bookmarkStart w:id="2" w:name="_Hlk89080743"/>
            <w:r w:rsidRPr="00565FFE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п</w:t>
            </w:r>
            <w:r w:rsidRPr="00565FFE">
              <w:rPr>
                <w:rFonts w:ascii="Arial" w:hAnsi="Arial" w:cs="Arial"/>
                <w:bCs/>
                <w:sz w:val="24"/>
                <w:szCs w:val="24"/>
              </w:rPr>
              <w:t>еречень видов занятий</w:t>
            </w:r>
            <w:bookmarkEnd w:id="2"/>
            <w:r w:rsidRPr="00565FFE">
              <w:rPr>
                <w:rFonts w:ascii="Arial" w:hAnsi="Arial" w:cs="Arial"/>
                <w:bCs/>
                <w:sz w:val="24"/>
                <w:szCs w:val="24"/>
              </w:rPr>
              <w:t>; перечень форм подведения итогов реализации дополнительной общеразвивающей программы.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цели, задачи и планируемые результаты ДОП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содержание ДОП: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Учебный план должен содержать следующие обязательные элементы: перечень, трудоемкость, последовательность и распределение по периодам обучения учебных предметов, курсов, дисциплин (модулей), тем, практики, иных видов учебной деятельности и формы аттестации обучающихся;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Содержание учебного плана — это описание разделов (модулей) и тем ДОП в соответствии с последовательностью,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 xml:space="preserve">заданной учебным планом, включая описание теоретических и практических частей и форм контроля по каждой теме </w:t>
            </w: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для каждого периода (года) обучения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. 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целям, задачам и планируемому результату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Цель и задачи ДОП должны верифицироваться планируемым результатом.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Задачи: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- образовательные,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- развивающие,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- воспитательные.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65FFE">
              <w:rPr>
                <w:rFonts w:ascii="Arial" w:eastAsia="Times New Roman" w:hAnsi="Arial" w:cs="Arial"/>
                <w:b/>
                <w:sz w:val="24"/>
                <w:szCs w:val="24"/>
              </w:rPr>
              <w:t>Предполагаемые результаты: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личностные планируемые результаты, 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метапредметные планируемые результаты,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>− предметные образовательные результаты.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комплексу организационно-педагогических условий ДОП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Обязательными организационно-педагогическими условиями   ДОП являются: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календарный учебный график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, который определяет количество учебных недель, часов, продолжительность каникул, сроки проведения аттестации, а также режим занятий;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формы аттестации (контроля)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оценочные материалы-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перечень диагностических методик, технологических, информационных карт, позволяющих определить достижение обучающимися планируемых результатов;</w:t>
            </w:r>
          </w:p>
          <w:p w:rsidR="00244B33" w:rsidRPr="00565FFE" w:rsidRDefault="00244B33" w:rsidP="006C6343">
            <w:pPr>
              <w:pStyle w:val="a8"/>
              <w:spacing w:after="0" w:line="240" w:lineRule="auto"/>
              <w:ind w:left="-107" w:firstLine="47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методическое обеспечение ДОП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– </w:t>
            </w:r>
            <w:r w:rsidRPr="00565FFE">
              <w:rPr>
                <w:rFonts w:ascii="Arial" w:hAnsi="Arial" w:cs="Arial"/>
                <w:sz w:val="24"/>
                <w:szCs w:val="24"/>
              </w:rPr>
              <w:t>обеспечение программы методическими видами продукции, необходимыми для ее реализации – указание тематики и формы методических материалов по программе (пособия, дидактические материалы); краткое описание общей методики работы в соответствии с направленностью содержания и индивидуальными особенностями обучающихся; описание используемых методик и технологий, в том числе информационных.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материально-техническое обеспечение ДОП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– перечень материально-технического оборудования и условий для реализации ДОП;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список литературы, содержащий </w:t>
            </w:r>
            <w:r w:rsidRPr="00565FFE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нормативные правовые акты, 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основную и дополнительную литературу,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Gungsuh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>− список литературы для обучающихся, родителей, в том числе интернет-источники.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>Список оформляется по ГОСТ (Р 7.0.11-2011 либо Р 7.0.100-2018)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</w:tbl>
    <w:p w:rsidR="00244B33" w:rsidRPr="00565FFE" w:rsidRDefault="00244B33" w:rsidP="00244B33">
      <w:pPr>
        <w:jc w:val="both"/>
        <w:rPr>
          <w:rFonts w:ascii="Arial" w:hAnsi="Arial" w:cs="Arial"/>
          <w:sz w:val="24"/>
          <w:szCs w:val="24"/>
        </w:rPr>
      </w:pPr>
    </w:p>
    <w:p w:rsidR="00244B33" w:rsidRPr="00565FFE" w:rsidRDefault="00244B33" w:rsidP="00244B33">
      <w:pPr>
        <w:tabs>
          <w:tab w:val="left" w:pos="2055"/>
        </w:tabs>
        <w:rPr>
          <w:rFonts w:ascii="Arial" w:hAnsi="Arial" w:cs="Arial"/>
          <w:sz w:val="24"/>
          <w:szCs w:val="24"/>
        </w:rPr>
        <w:sectPr w:rsidR="00244B33" w:rsidRPr="00565F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>П</w:t>
      </w:r>
      <w:r w:rsidR="00493A88" w:rsidRPr="00565FFE">
        <w:rPr>
          <w:rFonts w:ascii="Arial" w:eastAsia="Calibri" w:hAnsi="Arial" w:cs="Arial"/>
          <w:bCs/>
          <w:sz w:val="24"/>
          <w:szCs w:val="24"/>
          <w:lang w:eastAsia="ru-RU"/>
        </w:rPr>
        <w:t>риложение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№ 2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hAnsi="Arial" w:cs="Arial"/>
          <w:sz w:val="24"/>
          <w:szCs w:val="24"/>
        </w:rPr>
        <w:t xml:space="preserve">        УТВЕРЖДЕНЫ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         к Требованиям</w:t>
      </w: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caps/>
          <w:sz w:val="24"/>
          <w:szCs w:val="24"/>
          <w:lang w:eastAsia="ru-RU"/>
        </w:rPr>
        <w:t>Критерии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>оценки соответствия дополнительной общеразвивающей программы Минимальным требованиям к оказанию муниципальной услуги в социальной сфере по реализации дополнительных общеразвивающих программ</w:t>
      </w:r>
    </w:p>
    <w:p w:rsidR="00244B33" w:rsidRPr="00565FFE" w:rsidRDefault="00244B33" w:rsidP="00244B33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</w:p>
    <w:tbl>
      <w:tblPr>
        <w:tblStyle w:val="ad"/>
        <w:tblW w:w="9498" w:type="dxa"/>
        <w:tblInd w:w="-5" w:type="dxa"/>
        <w:tblLook w:val="04A0" w:firstRow="1" w:lastRow="0" w:firstColumn="1" w:lastColumn="0" w:noHBand="0" w:noVBand="1"/>
      </w:tblPr>
      <w:tblGrid>
        <w:gridCol w:w="653"/>
        <w:gridCol w:w="8845"/>
      </w:tblGrid>
      <w:tr w:rsidR="00244B33" w:rsidRPr="00565FFE" w:rsidTr="006C6343">
        <w:trPr>
          <w:trHeight w:val="102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spacing w:line="228" w:lineRule="exact"/>
              <w:jc w:val="center"/>
              <w:rPr>
                <w:rFonts w:ascii="Arial" w:eastAsia="Times New Roman" w:hAnsi="Arial" w:cs="Arial"/>
                <w:bCs/>
                <w:w w:val="99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Cs/>
                <w:w w:val="99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33" w:rsidRPr="00565FFE" w:rsidRDefault="00244B33" w:rsidP="006C6343">
            <w:pPr>
              <w:spacing w:line="228" w:lineRule="exact"/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/>
                <w:w w:val="99"/>
                <w:sz w:val="24"/>
                <w:szCs w:val="24"/>
                <w:bdr w:val="none" w:sz="0" w:space="0" w:color="auto" w:frame="1"/>
                <w:lang w:eastAsia="ru-RU"/>
              </w:rPr>
              <w:t xml:space="preserve">Критерии оценки 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spacing w:line="219" w:lineRule="exact"/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spacing w:line="219" w:lineRule="exact"/>
              <w:jc w:val="center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1. Титульный лист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244B33">
            <w:pPr>
              <w:pStyle w:val="a8"/>
              <w:numPr>
                <w:ilvl w:val="1"/>
                <w:numId w:val="34"/>
              </w:numPr>
              <w:ind w:left="-81" w:firstLine="0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pStyle w:val="a8"/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Соответствие оформления требованиям к программам (</w:t>
            </w:r>
            <w:r w:rsidRPr="00565FFE">
              <w:rPr>
                <w:rFonts w:ascii="Arial" w:hAnsi="Arial" w:cs="Arial"/>
                <w:sz w:val="24"/>
                <w:szCs w:val="24"/>
              </w:rPr>
              <w:t>наименование образовательной организации; дата и № протокола заседания коллегиального органа, рекомендовавшего программу к реализации; дата утверждения программы руководителем (подпись и печать организации); название программы с указанием её направленности; целевая группа программы; сроки реализации программы; ФИО, должность автора(ов)-составителя(ей) программы; место (населенный пункт) реализации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2.Пояснительная записка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2.1</w:t>
            </w: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необходимых элементов: направленность программы, актуальность, адресат, режим занятий, общий объем программы,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срок освоения программы, особенности организации образовательного процесса, перечень форм обучения, перечень видов занятий, перечень форм подведения итогов; логичность, последовательность изложения.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5FFE">
              <w:rPr>
                <w:rFonts w:ascii="Arial" w:hAnsi="Arial" w:cs="Arial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Нормативно-правовая база для проектирования актуальна на дату разработки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2.3</w:t>
            </w: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Обоснованность цели, задач, сроков и этапов реализации, форм организации образовательного процесса, методов и технологий обучения. </w:t>
            </w:r>
          </w:p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Цель отражает направленность программы и планируемый образовательный результат (личностные, метапредметные, предметные), цель конкретизирована через задачи, формулировки задач отображают шаги по достижению образовательного результата. (образовательные результаты сформулированы с учетом социально-экономической специфики региона как полезные, устойчивые, внутренние изменения человека, которые могут быть достигнуты в результате освоения программы).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2.4</w:t>
            </w:r>
            <w:r w:rsidRPr="00565FFE">
              <w:rPr>
                <w:rFonts w:ascii="Arial" w:hAnsi="Arial" w:cs="Arial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планируемых результатов (предметных, метапредметных, личностных)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целям и задачам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2.5.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Воспитательный потенциал (цель, задачи воспитательной работы, ожидаемые результаты, формы проведения воспитательных мероприятий, методы воспитательного воздействия).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3.Учебный план 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3.1.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Pr="00565FFE">
              <w:rPr>
                <w:rFonts w:ascii="Arial" w:hAnsi="Arial" w:cs="Arial"/>
                <w:sz w:val="24"/>
                <w:szCs w:val="24"/>
              </w:rPr>
              <w:t>аличие обязательных элементов – перечень, трудоемкость, последовательность и распределение по периодам обучения учебных предметов, курсов, дисциплин (модулей), тем, практики, иных видов учебной деятельности и формы аттестации обучающихся).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3.2.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Логичность последовательности, системность разделов и тем.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4.Содержание учебного плана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93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4.1.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widowControl w:val="0"/>
              <w:ind w:left="-81" w:right="93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Педагогическая целесообразность подбора содержания (учет возрастных особенностей, уровня обучающихся, отражение основных дидактических принципов).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4.2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содержания Учебному плану (представлено описание разделов и тем программы в соответствии с последовательностью, заданной учебным планом, включая описание теоретических и практических частей, </w:t>
            </w:r>
            <w:r w:rsidRPr="00565FFE">
              <w:rPr>
                <w:rFonts w:ascii="Arial" w:hAnsi="Arial" w:cs="Arial"/>
                <w:sz w:val="24"/>
                <w:szCs w:val="24"/>
              </w:rPr>
              <w:t>соблюдён баланс между заявленной трудоёмкостью темы и объемом представляемого содержания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5.Условия реализации программы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Наличие к</w:t>
            </w:r>
            <w:r w:rsidRPr="00565FFE">
              <w:rPr>
                <w:rFonts w:ascii="Arial" w:hAnsi="Arial" w:cs="Arial"/>
                <w:sz w:val="24"/>
                <w:szCs w:val="24"/>
              </w:rPr>
              <w:t>алендарно-тематического планирования, которое отражает содержание соответствующей дополнительной общеобразовательной общеразвивающей программы, составлено с учетом учебных часов, определенных учебным планом и содержанием программы, определяет последовательность изучения тем предполагаемой программы, количество часов на каждую из них и позволяет рассчитывать количество часов на изучение тем курса на полугодие, год; формы аттестации.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5.2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Наличие необходимых (реальных) материально-технических условий для реализации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5.3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информационно-методических условий реализации программы, обеспечивающих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достижение планируемых результатов</w:t>
            </w: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 (электронных образовательных ресурсов, информационных технологий, методических материалов к темам и разделам программы, учебно-методического комплекса).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5.4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</w:t>
            </w:r>
            <w:r w:rsidRPr="00565FFE">
              <w:rPr>
                <w:rFonts w:ascii="Arial" w:hAnsi="Arial" w:cs="Arial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оценочных материалов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(пакета диагностических методик), позволяющих определить достижение учащимися планируемых результатов.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6.Список литературы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6.1.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списков литературы для педагога, учащихся (родителей). 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6.2.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оформления списков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использованной и рекомендуемой литературы правилам составления библиографического списка</w:t>
            </w: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 (ГОСТ Р 7.0.11-2011 либо ГОСТ Р 7.0.100-2018)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7. Оформление программы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pStyle w:val="1"/>
              <w:shd w:val="clear" w:color="auto" w:fill="FFFFFF"/>
              <w:spacing w:before="161" w:after="161"/>
              <w:jc w:val="both"/>
              <w:outlineLvl w:val="0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  <w:bdr w:val="none" w:sz="0" w:space="0" w:color="auto" w:frame="1"/>
              </w:rPr>
            </w:pPr>
            <w:r w:rsidRPr="00565FFE">
              <w:rPr>
                <w:rFonts w:ascii="Arial" w:hAnsi="Arial" w:cs="Arial"/>
                <w:color w:val="auto"/>
                <w:sz w:val="24"/>
                <w:szCs w:val="24"/>
                <w:bdr w:val="none" w:sz="0" w:space="0" w:color="auto" w:frame="1"/>
              </w:rPr>
              <w:t>7.1.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pStyle w:val="1"/>
              <w:shd w:val="clear" w:color="auto" w:fill="FFFFFF"/>
              <w:spacing w:before="161" w:after="161"/>
              <w:outlineLvl w:val="0"/>
              <w:rPr>
                <w:rFonts w:ascii="Arial" w:hAnsi="Arial" w:cs="Arial"/>
                <w:color w:val="auto"/>
                <w:sz w:val="24"/>
                <w:szCs w:val="24"/>
                <w:bdr w:val="none" w:sz="0" w:space="0" w:color="auto" w:frame="1"/>
              </w:rPr>
            </w:pPr>
            <w:r w:rsidRPr="00565FFE">
              <w:rPr>
                <w:rFonts w:ascii="Arial" w:hAnsi="Arial" w:cs="Arial"/>
                <w:color w:val="auto"/>
                <w:sz w:val="24"/>
                <w:szCs w:val="24"/>
                <w:bdr w:val="none" w:sz="0" w:space="0" w:color="auto" w:frame="1"/>
              </w:rPr>
              <w:t>Соответствие оформления программы общим требованиям к созданию документов (</w:t>
            </w:r>
            <w:r w:rsidRPr="00565FFE">
              <w:rPr>
                <w:rFonts w:ascii="Arial" w:hAnsi="Arial" w:cs="Arial"/>
                <w:color w:val="auto"/>
                <w:sz w:val="24"/>
                <w:szCs w:val="24"/>
              </w:rPr>
              <w:t>ГОСТ Р 7.0.97-2016)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7.2.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Соответствие и обоснованность используемой терминологии,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 отсутствие грамматических, стилистических и пунктуационных ошибок. </w:t>
            </w:r>
          </w:p>
        </w:tc>
      </w:tr>
    </w:tbl>
    <w:p w:rsidR="00244B33" w:rsidRPr="00821B60" w:rsidRDefault="00244B33" w:rsidP="00244B3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71E7" w:rsidRPr="00821B60" w:rsidRDefault="00E471E7" w:rsidP="00E471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71E7" w:rsidRPr="00821B60" w:rsidSect="00B80426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6B9" w:rsidRDefault="00F906B9" w:rsidP="00411D1E">
      <w:pPr>
        <w:spacing w:after="0" w:line="240" w:lineRule="auto"/>
      </w:pPr>
      <w:r>
        <w:separator/>
      </w:r>
    </w:p>
  </w:endnote>
  <w:endnote w:type="continuationSeparator" w:id="0">
    <w:p w:rsidR="00F906B9" w:rsidRDefault="00F906B9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6B9" w:rsidRDefault="00F906B9" w:rsidP="00411D1E">
      <w:pPr>
        <w:spacing w:after="0" w:line="240" w:lineRule="auto"/>
      </w:pPr>
      <w:r>
        <w:separator/>
      </w:r>
    </w:p>
  </w:footnote>
  <w:footnote w:type="continuationSeparator" w:id="0">
    <w:p w:rsidR="00F906B9" w:rsidRDefault="00F906B9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5F9"/>
    <w:multiLevelType w:val="multilevel"/>
    <w:tmpl w:val="DB7A80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b/>
      </w:rPr>
    </w:lvl>
  </w:abstractNum>
  <w:abstractNum w:abstractNumId="1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04417"/>
    <w:multiLevelType w:val="hybridMultilevel"/>
    <w:tmpl w:val="FF4CAA22"/>
    <w:lvl w:ilvl="0" w:tplc="A19C5D26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3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C3F5A21"/>
    <w:multiLevelType w:val="hybridMultilevel"/>
    <w:tmpl w:val="EB3AAD3E"/>
    <w:lvl w:ilvl="0" w:tplc="F9F61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9"/>
  </w:num>
  <w:num w:numId="3">
    <w:abstractNumId w:val="21"/>
  </w:num>
  <w:num w:numId="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25"/>
  </w:num>
  <w:num w:numId="10">
    <w:abstractNumId w:val="1"/>
  </w:num>
  <w:num w:numId="11">
    <w:abstractNumId w:val="8"/>
  </w:num>
  <w:num w:numId="12">
    <w:abstractNumId w:val="30"/>
  </w:num>
  <w:num w:numId="13">
    <w:abstractNumId w:val="31"/>
  </w:num>
  <w:num w:numId="14">
    <w:abstractNumId w:val="13"/>
  </w:num>
  <w:num w:numId="15">
    <w:abstractNumId w:val="26"/>
  </w:num>
  <w:num w:numId="16">
    <w:abstractNumId w:val="29"/>
  </w:num>
  <w:num w:numId="17">
    <w:abstractNumId w:val="24"/>
  </w:num>
  <w:num w:numId="18">
    <w:abstractNumId w:val="19"/>
  </w:num>
  <w:num w:numId="19">
    <w:abstractNumId w:val="4"/>
  </w:num>
  <w:num w:numId="20">
    <w:abstractNumId w:val="18"/>
  </w:num>
  <w:num w:numId="21">
    <w:abstractNumId w:val="10"/>
  </w:num>
  <w:num w:numId="22">
    <w:abstractNumId w:val="17"/>
  </w:num>
  <w:num w:numId="23">
    <w:abstractNumId w:val="6"/>
  </w:num>
  <w:num w:numId="24">
    <w:abstractNumId w:val="20"/>
  </w:num>
  <w:num w:numId="25">
    <w:abstractNumId w:val="7"/>
  </w:num>
  <w:num w:numId="26">
    <w:abstractNumId w:val="2"/>
  </w:num>
  <w:num w:numId="27">
    <w:abstractNumId w:val="5"/>
  </w:num>
  <w:num w:numId="28">
    <w:abstractNumId w:val="3"/>
  </w:num>
  <w:num w:numId="29">
    <w:abstractNumId w:val="23"/>
  </w:num>
  <w:num w:numId="30">
    <w:abstractNumId w:val="27"/>
  </w:num>
  <w:num w:numId="31">
    <w:abstractNumId w:val="22"/>
  </w:num>
  <w:num w:numId="32">
    <w:abstractNumId w:val="16"/>
  </w:num>
  <w:num w:numId="33">
    <w:abstractNumId w:val="12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1660C"/>
    <w:rsid w:val="00020AF1"/>
    <w:rsid w:val="00030673"/>
    <w:rsid w:val="00036F9A"/>
    <w:rsid w:val="00040B29"/>
    <w:rsid w:val="0004687C"/>
    <w:rsid w:val="000474BB"/>
    <w:rsid w:val="00047907"/>
    <w:rsid w:val="0005044C"/>
    <w:rsid w:val="00057B68"/>
    <w:rsid w:val="000658C2"/>
    <w:rsid w:val="0007722B"/>
    <w:rsid w:val="00081B90"/>
    <w:rsid w:val="00082212"/>
    <w:rsid w:val="00083B8D"/>
    <w:rsid w:val="00086057"/>
    <w:rsid w:val="00095F8E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1AB"/>
    <w:rsid w:val="000D6537"/>
    <w:rsid w:val="000E0982"/>
    <w:rsid w:val="000E423F"/>
    <w:rsid w:val="000F236B"/>
    <w:rsid w:val="000F3BAC"/>
    <w:rsid w:val="000F474E"/>
    <w:rsid w:val="000F5C70"/>
    <w:rsid w:val="000F763F"/>
    <w:rsid w:val="00101E06"/>
    <w:rsid w:val="00103B0B"/>
    <w:rsid w:val="00106B50"/>
    <w:rsid w:val="001149A9"/>
    <w:rsid w:val="00122283"/>
    <w:rsid w:val="00123754"/>
    <w:rsid w:val="0012385B"/>
    <w:rsid w:val="001244FA"/>
    <w:rsid w:val="00124573"/>
    <w:rsid w:val="00125199"/>
    <w:rsid w:val="00130F70"/>
    <w:rsid w:val="00131CA2"/>
    <w:rsid w:val="001329D4"/>
    <w:rsid w:val="00133EE0"/>
    <w:rsid w:val="00151023"/>
    <w:rsid w:val="00164058"/>
    <w:rsid w:val="00164DF2"/>
    <w:rsid w:val="00166945"/>
    <w:rsid w:val="001746E9"/>
    <w:rsid w:val="00176514"/>
    <w:rsid w:val="0017795D"/>
    <w:rsid w:val="001847CC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6B07"/>
    <w:rsid w:val="001D01DA"/>
    <w:rsid w:val="001D1634"/>
    <w:rsid w:val="001D1CA3"/>
    <w:rsid w:val="001E6FB5"/>
    <w:rsid w:val="001F20B6"/>
    <w:rsid w:val="001F4219"/>
    <w:rsid w:val="001F6560"/>
    <w:rsid w:val="002125C1"/>
    <w:rsid w:val="002164EE"/>
    <w:rsid w:val="00217A0E"/>
    <w:rsid w:val="00225E46"/>
    <w:rsid w:val="00230782"/>
    <w:rsid w:val="0023170D"/>
    <w:rsid w:val="00235A97"/>
    <w:rsid w:val="00240C48"/>
    <w:rsid w:val="00244B33"/>
    <w:rsid w:val="00246480"/>
    <w:rsid w:val="0025068F"/>
    <w:rsid w:val="00257A25"/>
    <w:rsid w:val="0026413D"/>
    <w:rsid w:val="002643F7"/>
    <w:rsid w:val="002759B1"/>
    <w:rsid w:val="00290483"/>
    <w:rsid w:val="00291B84"/>
    <w:rsid w:val="00293A27"/>
    <w:rsid w:val="00297B53"/>
    <w:rsid w:val="002A54B1"/>
    <w:rsid w:val="002B059E"/>
    <w:rsid w:val="002B09BA"/>
    <w:rsid w:val="002B1062"/>
    <w:rsid w:val="002C0659"/>
    <w:rsid w:val="002C153C"/>
    <w:rsid w:val="002D1E3A"/>
    <w:rsid w:val="002F2F39"/>
    <w:rsid w:val="002F64BE"/>
    <w:rsid w:val="003003EC"/>
    <w:rsid w:val="003106E7"/>
    <w:rsid w:val="00316F30"/>
    <w:rsid w:val="00327D25"/>
    <w:rsid w:val="00334DB1"/>
    <w:rsid w:val="00336062"/>
    <w:rsid w:val="00345E59"/>
    <w:rsid w:val="00356991"/>
    <w:rsid w:val="00356D71"/>
    <w:rsid w:val="003577A5"/>
    <w:rsid w:val="0036746D"/>
    <w:rsid w:val="003679AB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1927"/>
    <w:rsid w:val="003E3EF7"/>
    <w:rsid w:val="003E4059"/>
    <w:rsid w:val="004022ED"/>
    <w:rsid w:val="00405CCD"/>
    <w:rsid w:val="00407D7D"/>
    <w:rsid w:val="00411D1E"/>
    <w:rsid w:val="004140B6"/>
    <w:rsid w:val="004209C7"/>
    <w:rsid w:val="00421444"/>
    <w:rsid w:val="004259D4"/>
    <w:rsid w:val="00433FAA"/>
    <w:rsid w:val="0044780C"/>
    <w:rsid w:val="00453DEA"/>
    <w:rsid w:val="004618AC"/>
    <w:rsid w:val="00484DBF"/>
    <w:rsid w:val="004875FA"/>
    <w:rsid w:val="00487C92"/>
    <w:rsid w:val="00493A88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139AA"/>
    <w:rsid w:val="00531793"/>
    <w:rsid w:val="005338D7"/>
    <w:rsid w:val="0053507A"/>
    <w:rsid w:val="00535962"/>
    <w:rsid w:val="00537A18"/>
    <w:rsid w:val="00541D84"/>
    <w:rsid w:val="00544F5A"/>
    <w:rsid w:val="00547E9B"/>
    <w:rsid w:val="00554C61"/>
    <w:rsid w:val="00565359"/>
    <w:rsid w:val="00565FFE"/>
    <w:rsid w:val="005675DD"/>
    <w:rsid w:val="0057459D"/>
    <w:rsid w:val="00577ECA"/>
    <w:rsid w:val="00585420"/>
    <w:rsid w:val="005905A7"/>
    <w:rsid w:val="00596DF3"/>
    <w:rsid w:val="005A378E"/>
    <w:rsid w:val="005A47C1"/>
    <w:rsid w:val="005B49A8"/>
    <w:rsid w:val="005C100E"/>
    <w:rsid w:val="005C174F"/>
    <w:rsid w:val="005C48D0"/>
    <w:rsid w:val="005D2073"/>
    <w:rsid w:val="005D64CE"/>
    <w:rsid w:val="005E1720"/>
    <w:rsid w:val="005E4D6A"/>
    <w:rsid w:val="005E6E87"/>
    <w:rsid w:val="005F14DD"/>
    <w:rsid w:val="005F2332"/>
    <w:rsid w:val="005F2B38"/>
    <w:rsid w:val="005F3C13"/>
    <w:rsid w:val="005F4D22"/>
    <w:rsid w:val="00600809"/>
    <w:rsid w:val="006076CA"/>
    <w:rsid w:val="00615AE5"/>
    <w:rsid w:val="00620737"/>
    <w:rsid w:val="00623293"/>
    <w:rsid w:val="00623E91"/>
    <w:rsid w:val="006274B3"/>
    <w:rsid w:val="00641C25"/>
    <w:rsid w:val="00646114"/>
    <w:rsid w:val="00646381"/>
    <w:rsid w:val="006470F6"/>
    <w:rsid w:val="006558A8"/>
    <w:rsid w:val="0066118C"/>
    <w:rsid w:val="0066781A"/>
    <w:rsid w:val="00667F96"/>
    <w:rsid w:val="00670B38"/>
    <w:rsid w:val="00672093"/>
    <w:rsid w:val="0067423D"/>
    <w:rsid w:val="006842DF"/>
    <w:rsid w:val="006876B4"/>
    <w:rsid w:val="006902E4"/>
    <w:rsid w:val="0069078D"/>
    <w:rsid w:val="006A33A9"/>
    <w:rsid w:val="006B0621"/>
    <w:rsid w:val="006B27A2"/>
    <w:rsid w:val="006C258C"/>
    <w:rsid w:val="006D7108"/>
    <w:rsid w:val="006F587B"/>
    <w:rsid w:val="007024BD"/>
    <w:rsid w:val="007028DB"/>
    <w:rsid w:val="0070594E"/>
    <w:rsid w:val="00712F4D"/>
    <w:rsid w:val="007209B3"/>
    <w:rsid w:val="00722E21"/>
    <w:rsid w:val="00723AE2"/>
    <w:rsid w:val="00734F34"/>
    <w:rsid w:val="00736497"/>
    <w:rsid w:val="00737853"/>
    <w:rsid w:val="0074589D"/>
    <w:rsid w:val="00745A66"/>
    <w:rsid w:val="00746B19"/>
    <w:rsid w:val="00755645"/>
    <w:rsid w:val="00757F68"/>
    <w:rsid w:val="00761E97"/>
    <w:rsid w:val="00762223"/>
    <w:rsid w:val="00764FC9"/>
    <w:rsid w:val="007721A6"/>
    <w:rsid w:val="00775857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E79FB"/>
    <w:rsid w:val="007F2A65"/>
    <w:rsid w:val="007F4414"/>
    <w:rsid w:val="008014CD"/>
    <w:rsid w:val="00802662"/>
    <w:rsid w:val="00803390"/>
    <w:rsid w:val="00810AA4"/>
    <w:rsid w:val="00814761"/>
    <w:rsid w:val="00821B60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01A0"/>
    <w:rsid w:val="00865214"/>
    <w:rsid w:val="008679F5"/>
    <w:rsid w:val="00870B00"/>
    <w:rsid w:val="00870C50"/>
    <w:rsid w:val="0088148B"/>
    <w:rsid w:val="008815E6"/>
    <w:rsid w:val="0088220B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8F58CF"/>
    <w:rsid w:val="009002BA"/>
    <w:rsid w:val="009011D2"/>
    <w:rsid w:val="0090698B"/>
    <w:rsid w:val="00915BEA"/>
    <w:rsid w:val="009176FB"/>
    <w:rsid w:val="00920971"/>
    <w:rsid w:val="00940D19"/>
    <w:rsid w:val="00944C7B"/>
    <w:rsid w:val="00945193"/>
    <w:rsid w:val="00960564"/>
    <w:rsid w:val="00962E76"/>
    <w:rsid w:val="009636EB"/>
    <w:rsid w:val="00965576"/>
    <w:rsid w:val="00967AA0"/>
    <w:rsid w:val="00975DCE"/>
    <w:rsid w:val="00976EDF"/>
    <w:rsid w:val="00984740"/>
    <w:rsid w:val="009858F6"/>
    <w:rsid w:val="009927B7"/>
    <w:rsid w:val="00996B6C"/>
    <w:rsid w:val="009B398B"/>
    <w:rsid w:val="009B47E2"/>
    <w:rsid w:val="009B69DD"/>
    <w:rsid w:val="009C6A76"/>
    <w:rsid w:val="009D17F8"/>
    <w:rsid w:val="009D240D"/>
    <w:rsid w:val="009E2D18"/>
    <w:rsid w:val="00A0282F"/>
    <w:rsid w:val="00A03608"/>
    <w:rsid w:val="00A0581D"/>
    <w:rsid w:val="00A059A4"/>
    <w:rsid w:val="00A05CE9"/>
    <w:rsid w:val="00A06AA6"/>
    <w:rsid w:val="00A06CB4"/>
    <w:rsid w:val="00A07008"/>
    <w:rsid w:val="00A1265F"/>
    <w:rsid w:val="00A13CF7"/>
    <w:rsid w:val="00A25F10"/>
    <w:rsid w:val="00A30CEA"/>
    <w:rsid w:val="00A35544"/>
    <w:rsid w:val="00A41C4D"/>
    <w:rsid w:val="00A514CF"/>
    <w:rsid w:val="00A52B69"/>
    <w:rsid w:val="00A5476D"/>
    <w:rsid w:val="00A54983"/>
    <w:rsid w:val="00A71D06"/>
    <w:rsid w:val="00A84C9B"/>
    <w:rsid w:val="00A9293A"/>
    <w:rsid w:val="00A96B3E"/>
    <w:rsid w:val="00A97253"/>
    <w:rsid w:val="00AA2014"/>
    <w:rsid w:val="00AA287D"/>
    <w:rsid w:val="00AA341C"/>
    <w:rsid w:val="00AA5DDA"/>
    <w:rsid w:val="00AD34DD"/>
    <w:rsid w:val="00AE1AD2"/>
    <w:rsid w:val="00AF2902"/>
    <w:rsid w:val="00AF6878"/>
    <w:rsid w:val="00B03186"/>
    <w:rsid w:val="00B16A70"/>
    <w:rsid w:val="00B20446"/>
    <w:rsid w:val="00B215E7"/>
    <w:rsid w:val="00B23D0A"/>
    <w:rsid w:val="00B252F1"/>
    <w:rsid w:val="00B2679B"/>
    <w:rsid w:val="00B365D7"/>
    <w:rsid w:val="00B4213F"/>
    <w:rsid w:val="00B43C40"/>
    <w:rsid w:val="00B6082D"/>
    <w:rsid w:val="00B64267"/>
    <w:rsid w:val="00B72EC3"/>
    <w:rsid w:val="00B80426"/>
    <w:rsid w:val="00B84033"/>
    <w:rsid w:val="00B93E86"/>
    <w:rsid w:val="00B9594B"/>
    <w:rsid w:val="00B95D00"/>
    <w:rsid w:val="00B96DF9"/>
    <w:rsid w:val="00BB1AF5"/>
    <w:rsid w:val="00BC03CB"/>
    <w:rsid w:val="00BC043D"/>
    <w:rsid w:val="00BC6E1D"/>
    <w:rsid w:val="00BD67BD"/>
    <w:rsid w:val="00BD77FB"/>
    <w:rsid w:val="00BE41E2"/>
    <w:rsid w:val="00BE66C2"/>
    <w:rsid w:val="00BF4020"/>
    <w:rsid w:val="00C03A2C"/>
    <w:rsid w:val="00C12CE2"/>
    <w:rsid w:val="00C1492C"/>
    <w:rsid w:val="00C159B1"/>
    <w:rsid w:val="00C1751E"/>
    <w:rsid w:val="00C23480"/>
    <w:rsid w:val="00C30524"/>
    <w:rsid w:val="00C40074"/>
    <w:rsid w:val="00C40368"/>
    <w:rsid w:val="00C4363A"/>
    <w:rsid w:val="00C50E80"/>
    <w:rsid w:val="00C52E56"/>
    <w:rsid w:val="00C574C1"/>
    <w:rsid w:val="00C703A1"/>
    <w:rsid w:val="00C77246"/>
    <w:rsid w:val="00C81C86"/>
    <w:rsid w:val="00C82248"/>
    <w:rsid w:val="00C84FD1"/>
    <w:rsid w:val="00C93AAA"/>
    <w:rsid w:val="00C977E3"/>
    <w:rsid w:val="00C979BC"/>
    <w:rsid w:val="00C97E32"/>
    <w:rsid w:val="00CA3CB3"/>
    <w:rsid w:val="00CB3A7B"/>
    <w:rsid w:val="00CC4090"/>
    <w:rsid w:val="00CC623A"/>
    <w:rsid w:val="00CC66B9"/>
    <w:rsid w:val="00CD26D1"/>
    <w:rsid w:val="00CD66FC"/>
    <w:rsid w:val="00CE4D1F"/>
    <w:rsid w:val="00CF08F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30D99"/>
    <w:rsid w:val="00D32DDA"/>
    <w:rsid w:val="00D43A8D"/>
    <w:rsid w:val="00D473BD"/>
    <w:rsid w:val="00D503E6"/>
    <w:rsid w:val="00D601B6"/>
    <w:rsid w:val="00D62135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D5E9C"/>
    <w:rsid w:val="00DE1043"/>
    <w:rsid w:val="00DE1BCA"/>
    <w:rsid w:val="00DE6DE6"/>
    <w:rsid w:val="00DF6EB4"/>
    <w:rsid w:val="00DF7330"/>
    <w:rsid w:val="00DF7887"/>
    <w:rsid w:val="00E02053"/>
    <w:rsid w:val="00E10146"/>
    <w:rsid w:val="00E103F5"/>
    <w:rsid w:val="00E11B41"/>
    <w:rsid w:val="00E23008"/>
    <w:rsid w:val="00E30075"/>
    <w:rsid w:val="00E30EE3"/>
    <w:rsid w:val="00E43E40"/>
    <w:rsid w:val="00E471E7"/>
    <w:rsid w:val="00E57956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73B7"/>
    <w:rsid w:val="00ED76A3"/>
    <w:rsid w:val="00EF40BE"/>
    <w:rsid w:val="00EF53A7"/>
    <w:rsid w:val="00EF54C9"/>
    <w:rsid w:val="00EF7900"/>
    <w:rsid w:val="00F031A8"/>
    <w:rsid w:val="00F0380C"/>
    <w:rsid w:val="00F03CC9"/>
    <w:rsid w:val="00F076E9"/>
    <w:rsid w:val="00F2115F"/>
    <w:rsid w:val="00F241D3"/>
    <w:rsid w:val="00F32502"/>
    <w:rsid w:val="00F32D8B"/>
    <w:rsid w:val="00F47C03"/>
    <w:rsid w:val="00F55F5E"/>
    <w:rsid w:val="00F607DF"/>
    <w:rsid w:val="00F64910"/>
    <w:rsid w:val="00F6510C"/>
    <w:rsid w:val="00F66E46"/>
    <w:rsid w:val="00F778DF"/>
    <w:rsid w:val="00F901D3"/>
    <w:rsid w:val="00F906B9"/>
    <w:rsid w:val="00F95597"/>
    <w:rsid w:val="00FA03F4"/>
    <w:rsid w:val="00FA3CFB"/>
    <w:rsid w:val="00FA4D38"/>
    <w:rsid w:val="00FA7669"/>
    <w:rsid w:val="00FB0095"/>
    <w:rsid w:val="00FB017A"/>
    <w:rsid w:val="00FB17A7"/>
    <w:rsid w:val="00FB1F5A"/>
    <w:rsid w:val="00FB5F7D"/>
    <w:rsid w:val="00FC462F"/>
    <w:rsid w:val="00FC7B18"/>
    <w:rsid w:val="00FD224F"/>
    <w:rsid w:val="00FD3F3F"/>
    <w:rsid w:val="00FD45CC"/>
    <w:rsid w:val="00FD6A4C"/>
    <w:rsid w:val="00FE018C"/>
    <w:rsid w:val="00FE05F9"/>
    <w:rsid w:val="00FE08BF"/>
    <w:rsid w:val="00FE10D5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2A5CC7"/>
  <w15:docId w15:val="{109DF67A-E399-46E7-A31D-5CB643B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aliases w:val="мой"/>
    <w:basedOn w:val="a"/>
    <w:link w:val="a9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d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0">
    <w:name w:val="Emphasis"/>
    <w:basedOn w:val="a0"/>
    <w:uiPriority w:val="20"/>
    <w:qFormat/>
    <w:rsid w:val="00E30EE3"/>
    <w:rPr>
      <w:i/>
      <w:iCs/>
    </w:rPr>
  </w:style>
  <w:style w:type="paragraph" w:styleId="af1">
    <w:name w:val="header"/>
    <w:basedOn w:val="a"/>
    <w:link w:val="af2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11D1E"/>
  </w:style>
  <w:style w:type="paragraph" w:styleId="af3">
    <w:name w:val="footer"/>
    <w:basedOn w:val="a"/>
    <w:link w:val="af4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11D1E"/>
  </w:style>
  <w:style w:type="paragraph" w:styleId="af5">
    <w:name w:val="footnote text"/>
    <w:basedOn w:val="a"/>
    <w:link w:val="af6"/>
    <w:uiPriority w:val="99"/>
    <w:semiHidden/>
    <w:unhideWhenUsed/>
    <w:rsid w:val="0023170D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3170D"/>
    <w:rPr>
      <w:sz w:val="20"/>
      <w:szCs w:val="20"/>
    </w:rPr>
  </w:style>
  <w:style w:type="table" w:customStyle="1" w:styleId="11">
    <w:name w:val="Сетка таблицы1"/>
    <w:basedOn w:val="a1"/>
    <w:next w:val="ad"/>
    <w:uiPriority w:val="39"/>
    <w:rsid w:val="00231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semiHidden/>
    <w:unhideWhenUsed/>
    <w:rsid w:val="0023170D"/>
    <w:rPr>
      <w:vertAlign w:val="superscript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244B33"/>
  </w:style>
  <w:style w:type="character" w:customStyle="1" w:styleId="af8">
    <w:name w:val="Гипертекстовая ссылка"/>
    <w:basedOn w:val="a0"/>
    <w:uiPriority w:val="99"/>
    <w:rsid w:val="00244B33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401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B401B-ED8E-4315-8EF0-E8407A37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3491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2</cp:revision>
  <cp:lastPrinted>2023-08-09T08:34:00Z</cp:lastPrinted>
  <dcterms:created xsi:type="dcterms:W3CDTF">2023-09-12T10:28:00Z</dcterms:created>
  <dcterms:modified xsi:type="dcterms:W3CDTF">2023-09-12T10:28:00Z</dcterms:modified>
</cp:coreProperties>
</file>